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jc w:val="center"/>
        <w:rPr>
          <w:rFonts w:hint="eastAsia" w:asciiTheme="majorEastAsia" w:hAnsiTheme="majorEastAsia" w:eastAsiaTheme="majorEastAsia" w:cstheme="majorEastAsia"/>
          <w:b/>
          <w:i w:val="0"/>
          <w:caps w:val="0"/>
          <w:color w:val="auto"/>
          <w:spacing w:val="0"/>
          <w:sz w:val="36"/>
          <w:szCs w:val="36"/>
          <w:shd w:val="clear" w:fill="auto"/>
        </w:rPr>
      </w:pPr>
      <w:r>
        <w:rPr>
          <w:rFonts w:hint="eastAsia" w:asciiTheme="majorEastAsia" w:hAnsiTheme="majorEastAsia" w:eastAsiaTheme="majorEastAsia" w:cstheme="majorEastAsia"/>
          <w:b/>
          <w:i w:val="0"/>
          <w:caps w:val="0"/>
          <w:color w:val="auto"/>
          <w:spacing w:val="0"/>
          <w:sz w:val="36"/>
          <w:szCs w:val="36"/>
          <w:shd w:val="clear" w:fill="auto"/>
        </w:rPr>
        <w:t>石家庄市轨道交通</w:t>
      </w:r>
      <w:r>
        <w:rPr>
          <w:rFonts w:hint="eastAsia" w:asciiTheme="majorEastAsia" w:hAnsiTheme="majorEastAsia" w:eastAsiaTheme="majorEastAsia" w:cstheme="majorEastAsia"/>
          <w:b/>
          <w:i w:val="0"/>
          <w:caps w:val="0"/>
          <w:color w:val="auto"/>
          <w:spacing w:val="0"/>
          <w:sz w:val="36"/>
          <w:szCs w:val="36"/>
          <w:shd w:val="clear" w:fill="auto"/>
          <w:lang w:eastAsia="zh-CN"/>
        </w:rPr>
        <w:t>集团</w:t>
      </w:r>
      <w:r>
        <w:rPr>
          <w:rFonts w:hint="eastAsia" w:asciiTheme="majorEastAsia" w:hAnsiTheme="majorEastAsia" w:eastAsiaTheme="majorEastAsia" w:cstheme="majorEastAsia"/>
          <w:b/>
          <w:i w:val="0"/>
          <w:caps w:val="0"/>
          <w:color w:val="auto"/>
          <w:spacing w:val="0"/>
          <w:sz w:val="36"/>
          <w:szCs w:val="36"/>
          <w:shd w:val="clear" w:fill="auto"/>
        </w:rPr>
        <w:t>运营分公司</w:t>
      </w:r>
      <w:r>
        <w:rPr>
          <w:rFonts w:hint="eastAsia" w:asciiTheme="majorEastAsia" w:hAnsiTheme="majorEastAsia" w:eastAsiaTheme="majorEastAsia" w:cstheme="majorEastAsia"/>
          <w:b/>
          <w:i w:val="0"/>
          <w:caps w:val="0"/>
          <w:color w:val="auto"/>
          <w:spacing w:val="0"/>
          <w:sz w:val="36"/>
          <w:szCs w:val="36"/>
          <w:shd w:val="clear" w:fill="auto"/>
          <w:lang w:eastAsia="zh-CN"/>
        </w:rPr>
        <w:t>202</w:t>
      </w:r>
      <w:r>
        <w:rPr>
          <w:rFonts w:hint="eastAsia" w:asciiTheme="majorEastAsia" w:hAnsiTheme="majorEastAsia" w:eastAsiaTheme="majorEastAsia" w:cstheme="majorEastAsia"/>
          <w:b/>
          <w:i w:val="0"/>
          <w:caps w:val="0"/>
          <w:color w:val="auto"/>
          <w:spacing w:val="0"/>
          <w:sz w:val="36"/>
          <w:szCs w:val="36"/>
          <w:shd w:val="clear" w:fill="auto"/>
          <w:lang w:val="en-US" w:eastAsia="zh-CN"/>
        </w:rPr>
        <w:t>3</w:t>
      </w:r>
      <w:r>
        <w:rPr>
          <w:rFonts w:hint="eastAsia" w:asciiTheme="majorEastAsia" w:hAnsiTheme="majorEastAsia" w:eastAsiaTheme="majorEastAsia" w:cstheme="majorEastAsia"/>
          <w:b/>
          <w:i w:val="0"/>
          <w:caps w:val="0"/>
          <w:color w:val="auto"/>
          <w:spacing w:val="0"/>
          <w:sz w:val="36"/>
          <w:szCs w:val="36"/>
          <w:shd w:val="clear" w:fill="auto"/>
          <w:lang w:eastAsia="zh-CN"/>
        </w:rPr>
        <w:t>年度废</w:t>
      </w:r>
      <w:r>
        <w:rPr>
          <w:rFonts w:hint="eastAsia" w:asciiTheme="majorEastAsia" w:hAnsiTheme="majorEastAsia" w:eastAsiaTheme="majorEastAsia" w:cstheme="majorEastAsia"/>
          <w:b/>
          <w:i w:val="0"/>
          <w:caps w:val="0"/>
          <w:color w:val="auto"/>
          <w:spacing w:val="0"/>
          <w:sz w:val="36"/>
          <w:szCs w:val="36"/>
          <w:shd w:val="clear" w:fill="auto"/>
          <w:lang w:val="en-US" w:eastAsia="zh-CN"/>
        </w:rPr>
        <w:t>铁屑</w:t>
      </w:r>
      <w:r>
        <w:rPr>
          <w:rFonts w:hint="eastAsia" w:asciiTheme="majorEastAsia" w:hAnsiTheme="majorEastAsia" w:eastAsiaTheme="majorEastAsia" w:cstheme="majorEastAsia"/>
          <w:b/>
          <w:i w:val="0"/>
          <w:caps w:val="0"/>
          <w:color w:val="auto"/>
          <w:spacing w:val="0"/>
          <w:sz w:val="36"/>
          <w:szCs w:val="36"/>
          <w:shd w:val="clear" w:fill="auto"/>
          <w:lang w:eastAsia="zh-CN"/>
        </w:rPr>
        <w:t>处置项目</w:t>
      </w:r>
      <w:r>
        <w:rPr>
          <w:rFonts w:hint="eastAsia" w:asciiTheme="majorEastAsia" w:hAnsiTheme="majorEastAsia" w:eastAsiaTheme="majorEastAsia" w:cstheme="majorEastAsia"/>
          <w:b/>
          <w:i w:val="0"/>
          <w:caps w:val="0"/>
          <w:color w:val="auto"/>
          <w:spacing w:val="0"/>
          <w:sz w:val="36"/>
          <w:szCs w:val="36"/>
          <w:shd w:val="clear" w:fill="auto"/>
        </w:rPr>
        <w:t>合同</w:t>
      </w:r>
    </w:p>
    <w:p>
      <w:pPr>
        <w:pStyle w:val="2"/>
        <w:rPr>
          <w:rFonts w:hint="eastAsia" w:asciiTheme="majorEastAsia" w:hAnsiTheme="majorEastAsia" w:eastAsiaTheme="majorEastAsia" w:cstheme="majorEastAsia"/>
          <w:b/>
          <w:i w:val="0"/>
          <w:caps w:val="0"/>
          <w:color w:val="auto"/>
          <w:spacing w:val="0"/>
          <w:sz w:val="36"/>
          <w:szCs w:val="36"/>
          <w:shd w:val="clear" w:fill="auto"/>
        </w:rPr>
      </w:pPr>
    </w:p>
    <w:p>
      <w:pPr>
        <w:rPr>
          <w:rFonts w:hint="eastAsia" w:asciiTheme="majorEastAsia" w:hAnsiTheme="majorEastAsia" w:eastAsiaTheme="majorEastAsia" w:cstheme="majorEastAsia"/>
          <w:b/>
          <w:i w:val="0"/>
          <w:caps w:val="0"/>
          <w:color w:val="auto"/>
          <w:spacing w:val="0"/>
          <w:sz w:val="36"/>
          <w:szCs w:val="36"/>
          <w:shd w:val="clear" w:fill="auto"/>
        </w:rPr>
      </w:pPr>
    </w:p>
    <w:p>
      <w:pPr>
        <w:pStyle w:val="2"/>
        <w:rPr>
          <w:rFonts w:hint="eastAsia" w:asciiTheme="majorEastAsia" w:hAnsiTheme="majorEastAsia" w:eastAsiaTheme="majorEastAsia" w:cstheme="majorEastAsia"/>
          <w:b/>
          <w:i w:val="0"/>
          <w:caps w:val="0"/>
          <w:color w:val="auto"/>
          <w:spacing w:val="0"/>
          <w:sz w:val="36"/>
          <w:szCs w:val="36"/>
          <w:shd w:val="clear" w:fill="auto"/>
        </w:rPr>
      </w:pPr>
    </w:p>
    <w:p>
      <w:pPr>
        <w:rPr>
          <w:rFonts w:hint="eastAsia" w:asciiTheme="majorEastAsia" w:hAnsiTheme="majorEastAsia" w:eastAsiaTheme="majorEastAsia" w:cstheme="majorEastAsia"/>
          <w:b/>
          <w:i w:val="0"/>
          <w:caps w:val="0"/>
          <w:color w:val="auto"/>
          <w:spacing w:val="0"/>
          <w:sz w:val="36"/>
          <w:szCs w:val="36"/>
          <w:shd w:val="clear" w:fill="auto"/>
        </w:rPr>
      </w:pPr>
    </w:p>
    <w:p>
      <w:pPr>
        <w:ind w:firstLine="1606" w:firstLineChars="500"/>
        <w:jc w:val="both"/>
        <w:rPr>
          <w:rFonts w:hint="eastAsia" w:ascii="Times New Roman" w:hAnsi="Times New Roman" w:eastAsia="宋体" w:cs="Times New Roman"/>
          <w:b/>
          <w:bCs/>
          <w:i w:val="0"/>
          <w:caps w:val="0"/>
          <w:color w:val="auto"/>
          <w:spacing w:val="0"/>
          <w:sz w:val="32"/>
          <w:szCs w:val="32"/>
          <w:highlight w:val="none"/>
          <w:shd w:val="clear" w:fill="auto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i w:val="0"/>
          <w:caps w:val="0"/>
          <w:color w:val="auto"/>
          <w:spacing w:val="0"/>
          <w:sz w:val="32"/>
          <w:szCs w:val="32"/>
          <w:highlight w:val="none"/>
          <w:shd w:val="clear" w:fill="auto"/>
          <w:lang w:val="en-US" w:eastAsia="zh-CN"/>
        </w:rPr>
        <w:t>合同编号：</w:t>
      </w:r>
    </w:p>
    <w:p>
      <w:pPr>
        <w:rPr>
          <w:rFonts w:hint="eastAsia" w:asciiTheme="majorEastAsia" w:hAnsiTheme="majorEastAsia" w:eastAsiaTheme="majorEastAsia" w:cstheme="majorEastAsia"/>
          <w:b/>
          <w:i w:val="0"/>
          <w:caps w:val="0"/>
          <w:color w:val="auto"/>
          <w:spacing w:val="0"/>
          <w:sz w:val="36"/>
          <w:szCs w:val="36"/>
          <w:shd w:val="clear" w:fill="auto"/>
        </w:rPr>
      </w:pPr>
    </w:p>
    <w:p>
      <w:pPr>
        <w:pStyle w:val="2"/>
        <w:rPr>
          <w:rFonts w:hint="eastAsia" w:asciiTheme="majorEastAsia" w:hAnsiTheme="majorEastAsia" w:eastAsiaTheme="majorEastAsia" w:cstheme="majorEastAsia"/>
          <w:b/>
          <w:i w:val="0"/>
          <w:caps w:val="0"/>
          <w:color w:val="auto"/>
          <w:spacing w:val="0"/>
          <w:sz w:val="36"/>
          <w:szCs w:val="36"/>
          <w:shd w:val="clear" w:fill="auto"/>
        </w:rPr>
      </w:pPr>
    </w:p>
    <w:p>
      <w:pPr>
        <w:rPr>
          <w:rFonts w:hint="eastAsia" w:asciiTheme="majorEastAsia" w:hAnsiTheme="majorEastAsia" w:eastAsiaTheme="majorEastAsia" w:cstheme="majorEastAsia"/>
          <w:b/>
          <w:i w:val="0"/>
          <w:caps w:val="0"/>
          <w:color w:val="auto"/>
          <w:spacing w:val="0"/>
          <w:sz w:val="36"/>
          <w:szCs w:val="36"/>
          <w:shd w:val="clear" w:fill="auto"/>
        </w:rPr>
      </w:pPr>
    </w:p>
    <w:p>
      <w:pPr>
        <w:rPr>
          <w:rFonts w:hint="eastAsia" w:asciiTheme="majorEastAsia" w:hAnsiTheme="majorEastAsia" w:eastAsiaTheme="majorEastAsia" w:cstheme="majorEastAsia"/>
          <w:b/>
          <w:i w:val="0"/>
          <w:caps w:val="0"/>
          <w:color w:val="auto"/>
          <w:spacing w:val="0"/>
          <w:sz w:val="36"/>
          <w:szCs w:val="36"/>
          <w:shd w:val="clear" w:fill="auto"/>
        </w:rPr>
      </w:pPr>
    </w:p>
    <w:p>
      <w:pPr>
        <w:pStyle w:val="2"/>
        <w:rPr>
          <w:rFonts w:hint="eastAsia" w:asciiTheme="majorEastAsia" w:hAnsiTheme="majorEastAsia" w:eastAsiaTheme="majorEastAsia" w:cstheme="majorEastAsia"/>
          <w:b/>
          <w:i w:val="0"/>
          <w:caps w:val="0"/>
          <w:color w:val="auto"/>
          <w:spacing w:val="0"/>
          <w:sz w:val="36"/>
          <w:szCs w:val="36"/>
          <w:shd w:val="clear" w:fill="auto"/>
        </w:rPr>
      </w:pPr>
    </w:p>
    <w:p>
      <w:pPr>
        <w:rPr>
          <w:rFonts w:hint="eastAsia" w:asciiTheme="majorEastAsia" w:hAnsiTheme="majorEastAsia" w:eastAsiaTheme="majorEastAsia" w:cstheme="majorEastAsia"/>
          <w:b/>
          <w:i w:val="0"/>
          <w:caps w:val="0"/>
          <w:color w:val="auto"/>
          <w:spacing w:val="0"/>
          <w:sz w:val="36"/>
          <w:szCs w:val="36"/>
          <w:shd w:val="clear" w:fill="auto"/>
        </w:rPr>
      </w:pPr>
    </w:p>
    <w:p>
      <w:pPr>
        <w:pStyle w:val="2"/>
        <w:rPr>
          <w:rFonts w:hint="eastAsia"/>
        </w:rPr>
      </w:pPr>
    </w:p>
    <w:p>
      <w:pPr>
        <w:rPr>
          <w:rFonts w:hint="eastAsia"/>
        </w:rPr>
      </w:pPr>
    </w:p>
    <w:p>
      <w:pPr>
        <w:spacing w:line="480" w:lineRule="auto"/>
        <w:jc w:val="center"/>
        <w:rPr>
          <w:rFonts w:hint="eastAsia" w:ascii="宋体" w:hAnsi="宋体" w:eastAsia="宋体" w:cs="Times New Roman"/>
          <w:b/>
          <w:bCs/>
          <w:sz w:val="36"/>
          <w:szCs w:val="20"/>
          <w:highlight w:val="none"/>
          <w:u w:val="none"/>
          <w:lang w:val="en-US" w:eastAsia="zh-CN"/>
        </w:rPr>
      </w:pPr>
      <w:r>
        <w:rPr>
          <w:rFonts w:hint="eastAsia" w:ascii="宋体" w:hAnsi="宋体" w:eastAsia="宋体" w:cs="Times New Roman"/>
          <w:b/>
          <w:bCs/>
          <w:sz w:val="36"/>
          <w:szCs w:val="20"/>
          <w:highlight w:val="none"/>
          <w:lang w:val="en-US" w:eastAsia="zh-CN"/>
        </w:rPr>
        <w:t xml:space="preserve">  处置方</w:t>
      </w:r>
      <w:r>
        <w:rPr>
          <w:rFonts w:hint="eastAsia" w:ascii="宋体" w:hAnsi="宋体" w:eastAsia="宋体" w:cs="Times New Roman"/>
          <w:b/>
          <w:bCs/>
          <w:sz w:val="36"/>
          <w:szCs w:val="20"/>
          <w:highlight w:val="none"/>
        </w:rPr>
        <w:t>：</w:t>
      </w:r>
      <w:r>
        <w:rPr>
          <w:rFonts w:hint="eastAsia" w:ascii="宋体" w:hAnsi="宋体" w:eastAsia="宋体" w:cs="Times New Roman"/>
          <w:b/>
          <w:bCs/>
          <w:sz w:val="36"/>
          <w:szCs w:val="20"/>
          <w:highlight w:val="none"/>
          <w:u w:val="none"/>
          <w:lang w:val="en-US" w:eastAsia="zh-CN"/>
        </w:rPr>
        <w:t xml:space="preserve">石家庄市轨道交通集团有限责任公司 </w:t>
      </w:r>
    </w:p>
    <w:p>
      <w:pPr>
        <w:spacing w:line="480" w:lineRule="auto"/>
        <w:ind w:firstLine="723" w:firstLineChars="200"/>
        <w:jc w:val="both"/>
        <w:rPr>
          <w:rFonts w:hint="eastAsia" w:ascii="宋体" w:hAnsi="宋体" w:eastAsia="宋体"/>
          <w:b/>
          <w:bCs/>
          <w:sz w:val="36"/>
          <w:szCs w:val="20"/>
          <w:highlight w:val="none"/>
        </w:rPr>
      </w:pPr>
      <w:r>
        <w:rPr>
          <w:rFonts w:hint="eastAsia" w:ascii="宋体" w:hAnsi="宋体" w:eastAsia="宋体" w:cs="Times New Roman"/>
          <w:b/>
          <w:bCs/>
          <w:sz w:val="36"/>
          <w:szCs w:val="20"/>
          <w:highlight w:val="none"/>
          <w:lang w:val="en-US" w:eastAsia="zh-CN"/>
        </w:rPr>
        <w:t>收购方</w:t>
      </w:r>
      <w:r>
        <w:rPr>
          <w:rFonts w:hint="eastAsia" w:ascii="宋体" w:hAnsi="宋体" w:eastAsia="宋体" w:cs="Times New Roman"/>
          <w:b/>
          <w:bCs/>
          <w:sz w:val="36"/>
          <w:szCs w:val="20"/>
          <w:highlight w:val="none"/>
        </w:rPr>
        <w:t>：</w:t>
      </w:r>
      <w:r>
        <w:rPr>
          <w:rFonts w:hint="eastAsia" w:ascii="宋体" w:hAnsi="宋体" w:eastAsia="宋体" w:cs="Times New Roman"/>
          <w:b/>
          <w:bCs/>
          <w:sz w:val="36"/>
          <w:szCs w:val="20"/>
          <w:highlight w:val="none"/>
          <w:u w:val="none"/>
        </w:rPr>
        <w:t xml:space="preserve">   </w:t>
      </w:r>
    </w:p>
    <w:p>
      <w:pPr>
        <w:spacing w:line="360" w:lineRule="auto"/>
        <w:rPr>
          <w:rFonts w:hint="eastAsia" w:ascii="微软雅黑" w:hAnsi="微软雅黑" w:eastAsia="微软雅黑"/>
          <w:b/>
        </w:rPr>
      </w:pPr>
    </w:p>
    <w:p>
      <w:pPr>
        <w:rPr>
          <w:rFonts w:hint="eastAsia"/>
        </w:rPr>
      </w:pPr>
    </w:p>
    <w:p>
      <w:pPr>
        <w:spacing w:line="360" w:lineRule="auto"/>
        <w:ind w:firstLine="1687" w:firstLineChars="800"/>
        <w:rPr>
          <w:rFonts w:hint="eastAsia" w:ascii="宋体" w:hAnsi="宋体" w:eastAsia="宋体" w:cs="宋体"/>
          <w:b/>
          <w:szCs w:val="21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spacing w:line="360" w:lineRule="auto"/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b/>
          <w:szCs w:val="21"/>
          <w:lang w:val="en-US" w:eastAsia="zh-CN"/>
        </w:rPr>
        <w:t>处置方</w:t>
      </w:r>
      <w:r>
        <w:rPr>
          <w:rFonts w:hint="eastAsia" w:ascii="宋体" w:hAnsi="宋体" w:eastAsia="宋体" w:cs="宋体"/>
          <w:b/>
          <w:szCs w:val="21"/>
        </w:rPr>
        <w:t>：</w:t>
      </w:r>
      <w:r>
        <w:rPr>
          <w:rFonts w:hint="eastAsia" w:ascii="宋体" w:hAnsi="宋体" w:eastAsia="宋体" w:cs="宋体"/>
          <w:szCs w:val="21"/>
          <w:u w:val="single"/>
          <w:lang w:val="en-US" w:eastAsia="zh-CN"/>
        </w:rPr>
        <w:t xml:space="preserve">石家庄市轨道交通集团有限责任公司 </w:t>
      </w:r>
      <w:r>
        <w:rPr>
          <w:rFonts w:hint="eastAsia" w:ascii="宋体" w:hAnsi="宋体" w:eastAsia="宋体" w:cs="宋体"/>
          <w:szCs w:val="21"/>
        </w:rPr>
        <w:t>（以下简称甲方）</w:t>
      </w:r>
    </w:p>
    <w:p>
      <w:pPr>
        <w:adjustRightInd w:val="0"/>
        <w:snapToGrid w:val="0"/>
        <w:spacing w:line="360" w:lineRule="auto"/>
        <w:rPr>
          <w:rFonts w:hint="eastAsia" w:ascii="宋体" w:hAnsi="宋体" w:eastAsia="宋体" w:cs="宋体"/>
          <w:b/>
          <w:szCs w:val="21"/>
        </w:rPr>
      </w:pPr>
      <w:r>
        <w:rPr>
          <w:rFonts w:hint="eastAsia" w:ascii="宋体" w:hAnsi="宋体" w:eastAsia="宋体" w:cs="宋体"/>
          <w:b/>
          <w:szCs w:val="21"/>
          <w:lang w:val="en-US" w:eastAsia="zh-CN"/>
        </w:rPr>
        <w:t>收购方</w:t>
      </w:r>
      <w:r>
        <w:rPr>
          <w:rFonts w:hint="eastAsia" w:ascii="宋体" w:hAnsi="宋体" w:eastAsia="宋体" w:cs="宋体"/>
          <w:b/>
          <w:szCs w:val="21"/>
        </w:rPr>
        <w:t>：</w:t>
      </w:r>
      <w:r>
        <w:rPr>
          <w:rFonts w:hint="eastAsia" w:ascii="宋体" w:hAnsi="宋体" w:eastAsia="宋体" w:cs="宋体"/>
          <w:szCs w:val="21"/>
          <w:u w:val="single"/>
          <w:lang w:val="en-US" w:eastAsia="zh-CN"/>
        </w:rPr>
        <w:t xml:space="preserve">                              </w:t>
      </w:r>
      <w:r>
        <w:rPr>
          <w:rFonts w:hint="eastAsia" w:ascii="宋体" w:hAnsi="宋体" w:eastAsia="宋体" w:cs="宋体"/>
          <w:szCs w:val="21"/>
          <w:u w:val="single"/>
        </w:rPr>
        <w:t xml:space="preserve">   </w:t>
      </w:r>
      <w:r>
        <w:rPr>
          <w:rFonts w:hint="eastAsia" w:ascii="宋体" w:hAnsi="宋体" w:eastAsia="宋体" w:cs="宋体"/>
          <w:szCs w:val="21"/>
        </w:rPr>
        <w:t>（以下简称乙方）</w:t>
      </w:r>
    </w:p>
    <w:p>
      <w:pPr>
        <w:adjustRightInd w:val="0"/>
        <w:snapToGrid w:val="0"/>
        <w:spacing w:line="360" w:lineRule="auto"/>
        <w:ind w:firstLine="420" w:firstLineChars="200"/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甲、乙双方本着平等、自愿、公平、诚实、守信的原则，经过友好协商，就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废铁屑处置</w:t>
      </w:r>
      <w:r>
        <w:rPr>
          <w:rFonts w:hint="eastAsia" w:ascii="宋体" w:hAnsi="宋体" w:eastAsia="宋体" w:cs="宋体"/>
          <w:sz w:val="21"/>
          <w:szCs w:val="21"/>
        </w:rPr>
        <w:t>相关事宜达成协议如下：</w:t>
      </w:r>
    </w:p>
    <w:p>
      <w:pPr>
        <w:adjustRightInd w:val="0"/>
        <w:snapToGrid w:val="0"/>
        <w:spacing w:line="360" w:lineRule="auto"/>
        <w:rPr>
          <w:rFonts w:hint="eastAsia" w:ascii="宋体" w:hAnsi="宋体" w:eastAsia="宋体" w:cs="宋体"/>
          <w:b/>
          <w:szCs w:val="21"/>
        </w:rPr>
      </w:pPr>
      <w:r>
        <w:rPr>
          <w:rFonts w:hint="eastAsia" w:ascii="宋体" w:hAnsi="宋体" w:eastAsia="宋体" w:cs="宋体"/>
          <w:b/>
          <w:szCs w:val="21"/>
        </w:rPr>
        <w:t>一、内容详情</w:t>
      </w:r>
    </w:p>
    <w:p>
      <w:pPr>
        <w:numPr>
          <w:ilvl w:val="-1"/>
          <w:numId w:val="0"/>
        </w:numPr>
        <w:adjustRightInd w:val="0"/>
        <w:snapToGrid w:val="0"/>
        <w:spacing w:line="360" w:lineRule="auto"/>
        <w:rPr>
          <w:rFonts w:hint="eastAsia" w:ascii="宋体" w:hAnsi="宋体" w:eastAsia="宋体" w:cs="宋体"/>
          <w:b w:val="0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szCs w:val="21"/>
          <w:lang w:val="en-US" w:eastAsia="zh-CN"/>
        </w:rPr>
        <w:t>1、约定处置的物资为：废铁屑</w:t>
      </w:r>
    </w:p>
    <w:p>
      <w:pPr>
        <w:numPr>
          <w:ilvl w:val="-1"/>
          <w:numId w:val="0"/>
        </w:numPr>
        <w:adjustRightInd w:val="0"/>
        <w:snapToGrid w:val="0"/>
        <w:spacing w:line="360" w:lineRule="auto"/>
        <w:rPr>
          <w:rFonts w:hint="eastAsia" w:ascii="宋体" w:hAnsi="宋体" w:eastAsia="宋体" w:cs="宋体"/>
          <w:b/>
          <w:bCs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szCs w:val="21"/>
          <w:lang w:val="en-US" w:eastAsia="zh-CN"/>
        </w:rPr>
        <w:t>2、</w:t>
      </w:r>
      <w:r>
        <w:rPr>
          <w:rFonts w:hint="eastAsia" w:ascii="宋体" w:hAnsi="宋体" w:eastAsia="宋体" w:cs="宋体"/>
          <w:b w:val="0"/>
          <w:bCs w:val="0"/>
          <w:szCs w:val="21"/>
          <w:lang w:val="en-US" w:eastAsia="zh-CN"/>
        </w:rPr>
        <w:t>根据双方约定此次处置的价格按照含税价格</w:t>
      </w:r>
      <w:r>
        <w:rPr>
          <w:rFonts w:hint="eastAsia" w:ascii="宋体" w:hAnsi="宋体" w:eastAsia="宋体" w:cs="宋体"/>
          <w:b w:val="0"/>
          <w:bCs w:val="0"/>
          <w:szCs w:val="21"/>
          <w:u w:val="single"/>
          <w:lang w:val="en-US" w:eastAsia="zh-CN"/>
        </w:rPr>
        <w:t xml:space="preserve">       </w:t>
      </w:r>
      <w:r>
        <w:rPr>
          <w:rFonts w:hint="eastAsia" w:ascii="宋体" w:hAnsi="宋体" w:eastAsia="宋体" w:cs="宋体"/>
          <w:b w:val="0"/>
          <w:bCs w:val="0"/>
          <w:szCs w:val="21"/>
          <w:lang w:val="en-US" w:eastAsia="zh-CN"/>
        </w:rPr>
        <w:t>元(人民币）/吨（含税）进行计价，其中税率为13%。具体吨数按照双方签字认可的吨数为准。</w:t>
      </w:r>
      <w:r>
        <w:rPr>
          <w:rFonts w:hint="eastAsia" w:ascii="宋体" w:hAnsi="宋体" w:eastAsia="宋体" w:cs="宋体"/>
          <w:b/>
          <w:bCs/>
          <w:szCs w:val="21"/>
          <w:highlight w:val="none"/>
          <w:lang w:val="en-US" w:eastAsia="zh-CN"/>
        </w:rPr>
        <w:t>（本价格包含货物在交付之前发生的所有成本费用，含可能的包装、运输、装卸、保险发生的所有费用）</w:t>
      </w:r>
    </w:p>
    <w:p>
      <w:pPr>
        <w:numPr>
          <w:ilvl w:val="0"/>
          <w:numId w:val="0"/>
        </w:numPr>
        <w:adjustRightInd w:val="0"/>
        <w:snapToGrid w:val="0"/>
        <w:spacing w:line="360" w:lineRule="auto"/>
        <w:rPr>
          <w:rFonts w:hint="default"/>
          <w:lang w:val="en-US" w:eastAsia="zh-CN"/>
        </w:rPr>
      </w:pPr>
      <w:r>
        <w:rPr>
          <w:rFonts w:hint="eastAsia" w:ascii="宋体" w:hAnsi="宋体" w:eastAsia="宋体" w:cs="宋体"/>
          <w:szCs w:val="21"/>
          <w:lang w:val="en-US" w:eastAsia="zh-CN"/>
        </w:rPr>
        <w:t>3、</w:t>
      </w:r>
      <w:r>
        <w:rPr>
          <w:rFonts w:hint="eastAsia" w:ascii="宋体" w:hAnsi="宋体" w:eastAsia="宋体" w:cs="宋体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甲方收款账户名称：</w:t>
      </w:r>
      <w:r>
        <w:rPr>
          <w:rFonts w:hint="eastAsia" w:ascii="宋体" w:hAnsi="宋体" w:eastAsia="宋体" w:cs="宋体"/>
          <w:color w:val="000000" w:themeColor="text1"/>
          <w:sz w:val="21"/>
          <w:szCs w:val="21"/>
          <w:u w:val="single"/>
          <w:lang w:val="en-US" w:eastAsia="zh-CN"/>
          <w14:textFill>
            <w14:solidFill>
              <w14:schemeClr w14:val="tx1"/>
            </w14:solidFill>
          </w14:textFill>
        </w:rPr>
        <w:t>石家庄市轨道交通集团有限责任公司</w:t>
      </w:r>
      <w:r>
        <w:rPr>
          <w:rFonts w:hint="eastAsia" w:ascii="宋体" w:hAnsi="宋体" w:eastAsia="宋体" w:cs="宋体"/>
          <w:color w:val="000000" w:themeColor="text1"/>
          <w:sz w:val="21"/>
          <w:szCs w:val="21"/>
          <w:u w:val="none"/>
          <w:lang w:val="en-US" w:eastAsia="zh-CN"/>
          <w14:textFill>
            <w14:solidFill>
              <w14:schemeClr w14:val="tx1"/>
            </w14:solidFill>
          </w14:textFill>
        </w:rPr>
        <w:t>；开户行：</w:t>
      </w:r>
      <w:r>
        <w:rPr>
          <w:rFonts w:hint="eastAsia" w:ascii="宋体" w:hAnsi="宋体" w:eastAsia="宋体" w:cs="宋体"/>
          <w:color w:val="000000" w:themeColor="text1"/>
          <w:sz w:val="21"/>
          <w:szCs w:val="21"/>
          <w:u w:val="single"/>
          <w:lang w:val="en-US" w:eastAsia="zh-CN"/>
          <w14:textFill>
            <w14:solidFill>
              <w14:schemeClr w14:val="tx1"/>
            </w14:solidFill>
          </w14:textFill>
        </w:rPr>
        <w:t>农行石门支行</w:t>
      </w:r>
      <w:r>
        <w:rPr>
          <w:rFonts w:hint="eastAsia" w:ascii="宋体" w:hAnsi="宋体" w:eastAsia="宋体" w:cs="宋体"/>
          <w:color w:val="000000" w:themeColor="text1"/>
          <w:sz w:val="21"/>
          <w:szCs w:val="21"/>
          <w:u w:val="none"/>
          <w:lang w:val="en-US" w:eastAsia="zh-CN"/>
          <w14:textFill>
            <w14:solidFill>
              <w14:schemeClr w14:val="tx1"/>
            </w14:solidFill>
          </w14:textFill>
        </w:rPr>
        <w:t>；账号：</w:t>
      </w:r>
      <w:r>
        <w:rPr>
          <w:rFonts w:hint="eastAsia" w:ascii="宋体" w:hAnsi="宋体" w:eastAsia="宋体" w:cs="宋体"/>
          <w:color w:val="000000" w:themeColor="text1"/>
          <w:sz w:val="21"/>
          <w:szCs w:val="21"/>
          <w:u w:val="single"/>
          <w:lang w:val="en-US" w:eastAsia="zh-CN"/>
          <w14:textFill>
            <w14:solidFill>
              <w14:schemeClr w14:val="tx1"/>
            </w14:solidFill>
          </w14:textFill>
        </w:rPr>
        <w:t>50348001040024969</w:t>
      </w:r>
      <w:r>
        <w:rPr>
          <w:rFonts w:hint="eastAsia" w:ascii="宋体" w:hAnsi="宋体" w:eastAsia="宋体" w:cs="宋体"/>
          <w:color w:val="000000" w:themeColor="text1"/>
          <w:sz w:val="21"/>
          <w:szCs w:val="21"/>
          <w:u w:val="none"/>
          <w:lang w:val="en-US" w:eastAsia="zh-CN"/>
          <w14:textFill>
            <w14:solidFill>
              <w14:schemeClr w14:val="tx1"/>
            </w14:solidFill>
          </w14:textFill>
        </w:rPr>
        <w:t>；附言：根据实际情况填写（必填）。</w:t>
      </w:r>
    </w:p>
    <w:p>
      <w:pPr>
        <w:numPr>
          <w:ilvl w:val="-1"/>
          <w:numId w:val="0"/>
        </w:numPr>
        <w:adjustRightInd w:val="0"/>
        <w:snapToGrid w:val="0"/>
        <w:spacing w:line="360" w:lineRule="auto"/>
        <w:rPr>
          <w:rFonts w:hint="default" w:ascii="宋体" w:hAnsi="宋体" w:eastAsia="宋体" w:cs="宋体"/>
          <w:b w:val="0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szCs w:val="21"/>
          <w:lang w:val="en-US" w:eastAsia="zh-CN"/>
        </w:rPr>
        <w:t>4、签订本协议后，由甲方提前通知乙方具体处置时间及地点，乙方接到甲方通知后，应在48小时内全部完成装运、清场工作。</w:t>
      </w:r>
    </w:p>
    <w:p>
      <w:pPr>
        <w:numPr>
          <w:ilvl w:val="-1"/>
          <w:numId w:val="0"/>
        </w:numPr>
        <w:adjustRightInd w:val="0"/>
        <w:snapToGrid w:val="0"/>
        <w:spacing w:line="360" w:lineRule="auto"/>
        <w:rPr>
          <w:rFonts w:hint="eastAsia" w:ascii="宋体" w:hAnsi="宋体" w:eastAsia="宋体" w:cs="宋体"/>
          <w:b/>
          <w:szCs w:val="21"/>
        </w:rPr>
      </w:pPr>
      <w:r>
        <w:rPr>
          <w:rFonts w:hint="eastAsia" w:ascii="宋体" w:hAnsi="宋体" w:eastAsia="宋体" w:cs="宋体"/>
          <w:b/>
          <w:szCs w:val="21"/>
          <w:lang w:eastAsia="zh-CN"/>
        </w:rPr>
        <w:t>二、</w:t>
      </w:r>
      <w:r>
        <w:rPr>
          <w:rFonts w:hint="eastAsia" w:ascii="宋体" w:hAnsi="宋体" w:eastAsia="宋体" w:cs="宋体"/>
          <w:b/>
          <w:szCs w:val="21"/>
        </w:rPr>
        <w:t>甲乙</w:t>
      </w:r>
      <w:r>
        <w:rPr>
          <w:rFonts w:hint="eastAsia" w:ascii="宋体" w:hAnsi="宋体" w:eastAsia="宋体" w:cs="宋体"/>
          <w:b/>
          <w:szCs w:val="21"/>
          <w:lang w:val="en-US" w:eastAsia="zh-CN"/>
        </w:rPr>
        <w:t>双</w:t>
      </w:r>
      <w:r>
        <w:rPr>
          <w:rFonts w:hint="eastAsia" w:ascii="宋体" w:hAnsi="宋体" w:eastAsia="宋体" w:cs="宋体"/>
          <w:b/>
          <w:szCs w:val="21"/>
        </w:rPr>
        <w:t>方</w:t>
      </w:r>
      <w:r>
        <w:rPr>
          <w:rFonts w:hint="eastAsia" w:ascii="宋体" w:hAnsi="宋体" w:eastAsia="宋体" w:cs="宋体"/>
          <w:b/>
          <w:szCs w:val="21"/>
          <w:lang w:val="en-US" w:eastAsia="zh-CN"/>
        </w:rPr>
        <w:t>的权利和义务</w:t>
      </w:r>
    </w:p>
    <w:p>
      <w:pPr>
        <w:numPr>
          <w:ilvl w:val="-1"/>
          <w:numId w:val="0"/>
        </w:numPr>
        <w:adjustRightInd w:val="0"/>
        <w:snapToGrid w:val="0"/>
        <w:spacing w:line="360" w:lineRule="auto"/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b w:val="0"/>
          <w:bCs/>
          <w:szCs w:val="21"/>
          <w:lang w:val="en-US" w:eastAsia="zh-CN"/>
        </w:rPr>
        <w:t>1、甲方</w:t>
      </w:r>
      <w:r>
        <w:rPr>
          <w:rFonts w:hint="eastAsia" w:ascii="宋体" w:hAnsi="宋体" w:eastAsia="宋体" w:cs="宋体"/>
          <w:szCs w:val="21"/>
          <w:lang w:val="en-US" w:eastAsia="zh-CN"/>
        </w:rPr>
        <w:t>承诺处置物资的所有权属清晰明确，同时负责协调过磅单位和运输车辆的过磅、称重记录、出门证办理等工作。</w:t>
      </w:r>
    </w:p>
    <w:p>
      <w:pPr>
        <w:keepNext w:val="0"/>
        <w:keepLines w:val="0"/>
        <w:pageBreakBefore w:val="0"/>
        <w:widowControl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0" w:firstLineChars="0"/>
        <w:textAlignment w:val="auto"/>
        <w:outlineLvl w:val="9"/>
        <w:rPr>
          <w:rFonts w:hint="eastAsia" w:ascii="宋体" w:hAnsi="宋体" w:eastAsia="宋体" w:cs="宋体"/>
          <w:szCs w:val="21"/>
          <w:lang w:val="en-US" w:eastAsia="zh-CN"/>
        </w:rPr>
      </w:pPr>
      <w:r>
        <w:rPr>
          <w:rFonts w:hint="eastAsia" w:ascii="宋体" w:hAnsi="宋体" w:eastAsia="宋体" w:cs="宋体"/>
          <w:szCs w:val="21"/>
          <w:lang w:val="en-US" w:eastAsia="zh-CN"/>
        </w:rPr>
        <w:t>2、乙方承诺并保证具备收购本合同约定处置物资的资质，同时处置现场的清理、装卸、运输车辆以及过磅费用等工作。</w:t>
      </w:r>
    </w:p>
    <w:p>
      <w:pPr>
        <w:widowControl/>
        <w:numPr>
          <w:ilvl w:val="-1"/>
          <w:numId w:val="0"/>
        </w:numPr>
        <w:adjustRightInd w:val="0"/>
        <w:snapToGrid w:val="0"/>
        <w:spacing w:line="360" w:lineRule="auto"/>
        <w:ind w:left="0" w:firstLine="0"/>
        <w:outlineLvl w:val="9"/>
        <w:rPr>
          <w:rFonts w:hint="default" w:ascii="宋体" w:hAnsi="宋体" w:eastAsia="宋体" w:cs="宋体"/>
          <w:szCs w:val="21"/>
          <w:lang w:val="en-US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3、合同签订之日起5日内，乙方须完成运输称重，废旧物资运输过磅结算完毕双方确认后，</w:t>
      </w:r>
      <w:r>
        <w:rPr>
          <w:rFonts w:hint="eastAsia" w:ascii="宋体" w:hAnsi="宋体" w:eastAsia="宋体" w:cs="宋体"/>
          <w:szCs w:val="21"/>
          <w:lang w:val="en-US" w:eastAsia="zh-CN"/>
        </w:rPr>
        <w:t>当日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乙方以公对公账户向甲方一次性结清账款，放行运输车辆。</w:t>
      </w:r>
    </w:p>
    <w:p>
      <w:pPr>
        <w:tabs>
          <w:tab w:val="left" w:pos="0"/>
          <w:tab w:val="left" w:pos="420"/>
        </w:tabs>
        <w:adjustRightInd w:val="0"/>
        <w:snapToGrid w:val="0"/>
        <w:spacing w:line="360" w:lineRule="auto"/>
        <w:rPr>
          <w:rFonts w:hint="eastAsia" w:ascii="宋体" w:hAnsi="宋体" w:eastAsia="宋体" w:cs="宋体"/>
          <w:b/>
          <w:szCs w:val="21"/>
        </w:rPr>
      </w:pPr>
      <w:r>
        <w:rPr>
          <w:rFonts w:hint="eastAsia" w:ascii="宋体" w:hAnsi="宋体" w:eastAsia="宋体" w:cs="宋体"/>
          <w:b/>
          <w:bCs w:val="0"/>
          <w:szCs w:val="21"/>
          <w:lang w:eastAsia="zh-CN"/>
        </w:rPr>
        <w:t>三</w:t>
      </w:r>
      <w:r>
        <w:rPr>
          <w:rFonts w:hint="eastAsia" w:ascii="宋体" w:hAnsi="宋体" w:eastAsia="宋体" w:cs="宋体"/>
          <w:b/>
          <w:szCs w:val="21"/>
        </w:rPr>
        <w:t>、</w:t>
      </w:r>
      <w:r>
        <w:rPr>
          <w:rFonts w:hint="eastAsia" w:ascii="宋体" w:hAnsi="宋体" w:eastAsia="宋体" w:cs="宋体"/>
          <w:b/>
          <w:szCs w:val="21"/>
          <w:lang w:val="en-US" w:eastAsia="zh-CN"/>
        </w:rPr>
        <w:t>安全条款</w:t>
      </w:r>
    </w:p>
    <w:p>
      <w:pPr>
        <w:pStyle w:val="45"/>
        <w:numPr>
          <w:ilvl w:val="-1"/>
          <w:numId w:val="0"/>
        </w:numPr>
        <w:tabs>
          <w:tab w:val="left" w:pos="786"/>
          <w:tab w:val="left" w:pos="1276"/>
        </w:tabs>
        <w:adjustRightInd w:val="0"/>
        <w:snapToGrid w:val="0"/>
        <w:spacing w:line="360" w:lineRule="auto"/>
        <w:ind w:left="0" w:firstLine="0" w:firstLineChars="0"/>
        <w:rPr>
          <w:rFonts w:hint="default" w:ascii="宋体" w:hAnsi="宋体" w:eastAsia="宋体" w:cs="宋体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szCs w:val="21"/>
          <w:highlight w:val="none"/>
          <w:lang w:val="en-US" w:eastAsia="zh-CN"/>
        </w:rPr>
        <w:t>1、乙方车辆在进入甲方处置现场内应注意安全，服从甲方现场的调度以及管理，装卸过程中保证场地内外的卫生清洁。</w:t>
      </w:r>
    </w:p>
    <w:p>
      <w:pPr>
        <w:pStyle w:val="45"/>
        <w:numPr>
          <w:ilvl w:val="-1"/>
          <w:numId w:val="0"/>
        </w:numPr>
        <w:tabs>
          <w:tab w:val="left" w:pos="786"/>
          <w:tab w:val="left" w:pos="1276"/>
        </w:tabs>
        <w:adjustRightInd w:val="0"/>
        <w:snapToGrid w:val="0"/>
        <w:spacing w:line="360" w:lineRule="auto"/>
        <w:ind w:left="0" w:firstLine="0" w:firstLineChars="0"/>
        <w:rPr>
          <w:rFonts w:hint="eastAsia" w:ascii="宋体" w:hAnsi="宋体" w:eastAsia="宋体" w:cs="宋体"/>
          <w:b/>
          <w:szCs w:val="21"/>
          <w:lang w:eastAsia="zh-CN"/>
        </w:rPr>
      </w:pPr>
      <w:r>
        <w:rPr>
          <w:rFonts w:hint="eastAsia" w:ascii="宋体" w:hAnsi="宋体" w:eastAsia="宋体" w:cs="宋体"/>
          <w:szCs w:val="21"/>
          <w:lang w:val="en-US" w:eastAsia="zh-CN"/>
        </w:rPr>
        <w:t>2、在处置现场应有专人负责安全管理，在装卸及运输等过程中出现的任何安全事故，由乙方承担全部法律及经济责任。</w:t>
      </w:r>
    </w:p>
    <w:p>
      <w:pPr>
        <w:tabs>
          <w:tab w:val="left" w:pos="0"/>
          <w:tab w:val="left" w:pos="420"/>
        </w:tabs>
        <w:adjustRightInd w:val="0"/>
        <w:snapToGrid w:val="0"/>
        <w:spacing w:line="360" w:lineRule="auto"/>
        <w:rPr>
          <w:rFonts w:hint="eastAsia" w:ascii="宋体" w:hAnsi="宋体" w:eastAsia="宋体" w:cs="宋体"/>
          <w:b/>
          <w:szCs w:val="21"/>
        </w:rPr>
      </w:pPr>
      <w:r>
        <w:rPr>
          <w:rFonts w:hint="eastAsia" w:ascii="宋体" w:hAnsi="宋体" w:eastAsia="宋体" w:cs="宋体"/>
          <w:b/>
          <w:szCs w:val="21"/>
          <w:lang w:eastAsia="zh-CN"/>
        </w:rPr>
        <w:t>四</w:t>
      </w:r>
      <w:r>
        <w:rPr>
          <w:rFonts w:hint="eastAsia" w:ascii="宋体" w:hAnsi="宋体" w:eastAsia="宋体" w:cs="宋体"/>
          <w:b/>
          <w:szCs w:val="21"/>
        </w:rPr>
        <w:t>、</w:t>
      </w:r>
      <w:r>
        <w:rPr>
          <w:rFonts w:hint="eastAsia" w:ascii="宋体" w:hAnsi="宋体" w:eastAsia="宋体" w:cs="宋体"/>
          <w:b/>
          <w:szCs w:val="21"/>
          <w:lang w:eastAsia="zh-CN"/>
        </w:rPr>
        <w:t>违约责任</w:t>
      </w:r>
    </w:p>
    <w:p>
      <w:pPr>
        <w:numPr>
          <w:ilvl w:val="-1"/>
          <w:numId w:val="0"/>
        </w:numPr>
        <w:adjustRightInd w:val="0"/>
        <w:snapToGrid w:val="0"/>
        <w:spacing w:line="360" w:lineRule="auto"/>
        <w:ind w:left="0" w:firstLine="0"/>
        <w:rPr>
          <w:rFonts w:hint="eastAsia" w:ascii="宋体" w:hAnsi="宋体" w:eastAsia="宋体" w:cs="宋体"/>
          <w:szCs w:val="21"/>
          <w:highlight w:val="none"/>
        </w:rPr>
      </w:pPr>
      <w:r>
        <w:rPr>
          <w:rFonts w:hint="eastAsia" w:ascii="宋体" w:hAnsi="宋体" w:eastAsia="宋体" w:cs="宋体"/>
          <w:szCs w:val="21"/>
          <w:lang w:val="en-US" w:eastAsia="zh-CN"/>
        </w:rPr>
        <w:t>1、本合同生效后，乙方未能在约定的时间内履行义务，且在甲方书面催告后72小时内仍未履行的，甲方有权利单方解除本合同。</w:t>
      </w:r>
      <w:r>
        <w:rPr>
          <w:rFonts w:hint="eastAsia" w:ascii="宋体" w:hAnsi="宋体" w:eastAsia="宋体" w:cs="宋体"/>
          <w:szCs w:val="21"/>
          <w:highlight w:val="none"/>
        </w:rPr>
        <w:t>并要求乙方支付甲方</w:t>
      </w:r>
      <w:r>
        <w:rPr>
          <w:rFonts w:hint="eastAsia" w:ascii="宋体" w:hAnsi="宋体" w:eastAsia="宋体" w:cs="宋体"/>
          <w:szCs w:val="21"/>
          <w:highlight w:val="none"/>
          <w:lang w:val="en-US" w:eastAsia="zh-CN"/>
        </w:rPr>
        <w:t>处置货物总额10%的违约金</w:t>
      </w:r>
      <w:r>
        <w:rPr>
          <w:rFonts w:hint="eastAsia" w:ascii="宋体" w:hAnsi="宋体" w:eastAsia="宋体" w:cs="宋体"/>
          <w:szCs w:val="21"/>
          <w:highlight w:val="none"/>
        </w:rPr>
        <w:t>，违约金不足以弥补给甲方造成的损失的，乙方应当继续承担赔偿责任。</w:t>
      </w:r>
    </w:p>
    <w:p>
      <w:pPr>
        <w:pStyle w:val="45"/>
        <w:numPr>
          <w:ilvl w:val="-1"/>
          <w:numId w:val="0"/>
        </w:numPr>
        <w:tabs>
          <w:tab w:val="left" w:pos="1276"/>
        </w:tabs>
        <w:adjustRightInd w:val="0"/>
        <w:snapToGrid w:val="0"/>
        <w:spacing w:line="360" w:lineRule="auto"/>
        <w:ind w:left="0" w:firstLine="0" w:firstLineChars="0"/>
        <w:rPr>
          <w:rFonts w:hint="eastAsia" w:ascii="宋体" w:hAnsi="宋体" w:eastAsia="宋体" w:cs="宋体"/>
          <w:szCs w:val="21"/>
          <w:lang w:val="en-US" w:eastAsia="zh-CN"/>
        </w:rPr>
      </w:pPr>
      <w:r>
        <w:rPr>
          <w:rFonts w:hint="eastAsia" w:ascii="宋体" w:hAnsi="宋体" w:eastAsia="宋体" w:cs="宋体"/>
          <w:szCs w:val="21"/>
          <w:lang w:val="en-US" w:eastAsia="zh-CN"/>
        </w:rPr>
        <w:t>2、装载完毕乙方</w:t>
      </w:r>
      <w:bookmarkStart w:id="0" w:name="_GoBack"/>
      <w:bookmarkEnd w:id="0"/>
      <w:r>
        <w:rPr>
          <w:rFonts w:hint="eastAsia" w:ascii="宋体" w:hAnsi="宋体" w:eastAsia="宋体" w:cs="宋体"/>
          <w:szCs w:val="21"/>
          <w:lang w:val="en-US" w:eastAsia="zh-CN"/>
        </w:rPr>
        <w:t>未按照约定及时支付价款的，乙方应在当日把废旧物资回归原位，由此造成的一切损失由乙方负责。</w:t>
      </w:r>
    </w:p>
    <w:p>
      <w:pPr>
        <w:pStyle w:val="45"/>
        <w:numPr>
          <w:ilvl w:val="-1"/>
          <w:numId w:val="0"/>
        </w:numPr>
        <w:tabs>
          <w:tab w:val="left" w:pos="1276"/>
        </w:tabs>
        <w:adjustRightInd w:val="0"/>
        <w:snapToGrid w:val="0"/>
        <w:spacing w:line="360" w:lineRule="auto"/>
        <w:ind w:left="0" w:firstLine="0" w:firstLineChars="0"/>
        <w:rPr>
          <w:rFonts w:hint="default" w:ascii="宋体" w:hAnsi="宋体" w:eastAsia="宋体" w:cs="宋体"/>
          <w:szCs w:val="21"/>
          <w:lang w:val="en-US" w:eastAsia="zh-CN"/>
        </w:rPr>
      </w:pPr>
      <w:r>
        <w:rPr>
          <w:rFonts w:hint="eastAsia" w:ascii="宋体" w:hAnsi="宋体" w:eastAsia="宋体" w:cs="宋体"/>
          <w:szCs w:val="21"/>
          <w:lang w:val="en-US" w:eastAsia="zh-CN"/>
        </w:rPr>
        <w:t>3、乙方未按照合同约定和甲方要求清理场地的，乙方向甲方支付</w:t>
      </w:r>
      <w:r>
        <w:rPr>
          <w:rFonts w:hint="eastAsia" w:ascii="宋体" w:hAnsi="宋体" w:eastAsia="宋体" w:cs="宋体"/>
          <w:szCs w:val="21"/>
        </w:rPr>
        <w:t>处置货物总额10%的违约金</w:t>
      </w:r>
      <w:r>
        <w:rPr>
          <w:rFonts w:hint="eastAsia" w:ascii="宋体" w:hAnsi="宋体" w:eastAsia="宋体" w:cs="宋体"/>
          <w:szCs w:val="21"/>
          <w:lang w:eastAsia="zh-CN"/>
        </w:rPr>
        <w:t>，</w:t>
      </w:r>
      <w:r>
        <w:rPr>
          <w:rFonts w:hint="eastAsia" w:ascii="宋体" w:hAnsi="宋体" w:eastAsia="宋体" w:cs="宋体"/>
          <w:szCs w:val="21"/>
          <w:lang w:val="en-US" w:eastAsia="zh-CN"/>
        </w:rPr>
        <w:t>违约金不足以弥补给甲方造成损失的，乙方应当继续赔偿甲方损失。</w:t>
      </w:r>
    </w:p>
    <w:p>
      <w:pPr>
        <w:tabs>
          <w:tab w:val="left" w:pos="0"/>
          <w:tab w:val="left" w:pos="420"/>
        </w:tabs>
        <w:adjustRightInd w:val="0"/>
        <w:snapToGrid w:val="0"/>
        <w:spacing w:line="360" w:lineRule="auto"/>
        <w:rPr>
          <w:rFonts w:hint="eastAsia" w:ascii="宋体" w:hAnsi="宋体" w:eastAsia="宋体" w:cs="宋体"/>
          <w:b/>
          <w:szCs w:val="21"/>
        </w:rPr>
      </w:pPr>
      <w:r>
        <w:rPr>
          <w:rFonts w:hint="eastAsia" w:ascii="宋体" w:hAnsi="宋体" w:eastAsia="宋体" w:cs="宋体"/>
          <w:b/>
          <w:szCs w:val="21"/>
          <w:lang w:val="en-US" w:eastAsia="zh-CN"/>
        </w:rPr>
        <w:t>五</w:t>
      </w:r>
      <w:r>
        <w:rPr>
          <w:rFonts w:hint="eastAsia" w:ascii="宋体" w:hAnsi="宋体" w:eastAsia="宋体" w:cs="宋体"/>
          <w:b/>
          <w:szCs w:val="21"/>
        </w:rPr>
        <w:t>、免责条款</w:t>
      </w:r>
    </w:p>
    <w:p>
      <w:pPr>
        <w:adjustRightInd w:val="0"/>
        <w:snapToGrid w:val="0"/>
        <w:spacing w:line="360" w:lineRule="auto"/>
        <w:ind w:firstLine="420" w:firstLineChars="200"/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如因不可抗力致使双方不能履行本合同中的部分或全部义务时，双方均不负违约责任。但不能履行义务一方应在合理的时间内，向对方报告所发生的不可抗力并提供有关部门的证明文件，</w:t>
      </w:r>
      <w:r>
        <w:rPr>
          <w:rFonts w:hint="eastAsia" w:ascii="宋体" w:hAnsi="宋体" w:eastAsia="宋体" w:cs="宋体"/>
          <w:color w:val="000000"/>
          <w:szCs w:val="21"/>
        </w:rPr>
        <w:t>且</w:t>
      </w:r>
      <w:r>
        <w:rPr>
          <w:rFonts w:hint="eastAsia" w:ascii="宋体" w:hAnsi="宋体" w:eastAsia="宋体" w:cs="宋体"/>
          <w:szCs w:val="21"/>
        </w:rPr>
        <w:t>应尽可能减少不可抗力所产生之影响。若一方在不可抗力事件发生后15日内无法继续履行其全部或部分义务，则任何一方均有权解除本合同。</w:t>
      </w:r>
      <w:r>
        <w:rPr>
          <w:rFonts w:hint="eastAsia" w:ascii="宋体" w:hAnsi="宋体" w:eastAsia="宋体" w:cs="宋体"/>
          <w:bCs/>
          <w:szCs w:val="21"/>
        </w:rPr>
        <w:t>本条所称“不可抗力”是指自然灾害、重大疫情、恶劣天气条件、政府行为、社会异常事件（包括罢工、政变、骚乱、游行等）或新颁布的法律、法规等不能预见、不能避免并不能克服的客观情况。</w:t>
      </w:r>
    </w:p>
    <w:p>
      <w:pPr>
        <w:tabs>
          <w:tab w:val="left" w:pos="0"/>
          <w:tab w:val="left" w:pos="420"/>
        </w:tabs>
        <w:adjustRightInd w:val="0"/>
        <w:snapToGrid w:val="0"/>
        <w:spacing w:line="360" w:lineRule="auto"/>
        <w:rPr>
          <w:rFonts w:hint="eastAsia" w:ascii="宋体" w:hAnsi="宋体" w:eastAsia="宋体" w:cs="宋体"/>
          <w:b/>
          <w:szCs w:val="21"/>
        </w:rPr>
      </w:pPr>
      <w:r>
        <w:rPr>
          <w:rFonts w:hint="eastAsia" w:ascii="宋体" w:hAnsi="宋体" w:eastAsia="宋体" w:cs="宋体"/>
          <w:b/>
          <w:szCs w:val="21"/>
          <w:lang w:val="en-US" w:eastAsia="zh-CN"/>
        </w:rPr>
        <w:t>六</w:t>
      </w:r>
      <w:r>
        <w:rPr>
          <w:rFonts w:hint="eastAsia" w:ascii="宋体" w:hAnsi="宋体" w:eastAsia="宋体" w:cs="宋体"/>
          <w:b/>
          <w:szCs w:val="21"/>
        </w:rPr>
        <w:t>、法律的适用及争议的解决</w:t>
      </w:r>
    </w:p>
    <w:p>
      <w:pPr>
        <w:adjustRightInd w:val="0"/>
        <w:snapToGrid w:val="0"/>
        <w:spacing w:line="360" w:lineRule="auto"/>
        <w:ind w:firstLine="420" w:firstLineChars="200"/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本合同的解释和执行适用中华人民共和国法律。甲、乙双方在履行本合同中出现的争议首先通过友好协商的方式解决。协商不成时，双方同意</w:t>
      </w:r>
      <w:r>
        <w:rPr>
          <w:rFonts w:hint="eastAsia" w:ascii="宋体" w:hAnsi="宋体" w:eastAsia="宋体" w:cs="宋体"/>
          <w:szCs w:val="21"/>
          <w:lang w:eastAsia="zh-CN"/>
        </w:rPr>
        <w:t>向石家庄仲裁委员会申请仲裁</w:t>
      </w:r>
      <w:r>
        <w:rPr>
          <w:rFonts w:hint="eastAsia" w:ascii="宋体" w:hAnsi="宋体" w:eastAsia="宋体" w:cs="宋体"/>
          <w:szCs w:val="21"/>
        </w:rPr>
        <w:t>。</w:t>
      </w:r>
    </w:p>
    <w:p>
      <w:pPr>
        <w:numPr>
          <w:ilvl w:val="-1"/>
          <w:numId w:val="0"/>
        </w:numPr>
        <w:tabs>
          <w:tab w:val="left" w:pos="0"/>
          <w:tab w:val="left" w:pos="420"/>
        </w:tabs>
        <w:adjustRightInd w:val="0"/>
        <w:snapToGrid w:val="0"/>
        <w:spacing w:line="360" w:lineRule="auto"/>
        <w:rPr>
          <w:rFonts w:hint="eastAsia" w:ascii="宋体" w:hAnsi="宋体" w:eastAsia="宋体" w:cs="宋体"/>
          <w:b/>
          <w:szCs w:val="21"/>
        </w:rPr>
      </w:pPr>
      <w:r>
        <w:rPr>
          <w:rFonts w:hint="eastAsia" w:ascii="宋体" w:hAnsi="宋体" w:eastAsia="宋体" w:cs="宋体"/>
          <w:b/>
          <w:szCs w:val="21"/>
          <w:lang w:val="en-US" w:eastAsia="zh-CN"/>
        </w:rPr>
        <w:t>七、未尽事宜</w:t>
      </w:r>
    </w:p>
    <w:p>
      <w:pPr>
        <w:numPr>
          <w:ilvl w:val="-1"/>
          <w:numId w:val="0"/>
        </w:numPr>
        <w:tabs>
          <w:tab w:val="left" w:pos="0"/>
          <w:tab w:val="left" w:pos="420"/>
        </w:tabs>
        <w:ind w:firstLine="420" w:firstLineChars="200"/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本合同未尽事宜，双方签订补充协议，补充协议与</w:t>
      </w:r>
      <w:r>
        <w:rPr>
          <w:rFonts w:hint="eastAsia" w:ascii="宋体" w:hAnsi="宋体" w:eastAsia="宋体" w:cs="宋体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本</w:t>
      </w:r>
      <w:r>
        <w:rPr>
          <w:rFonts w:hint="eastAsia" w:ascii="宋体" w:hAnsi="宋体" w:eastAsia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合同具有同等法律效力。</w:t>
      </w:r>
    </w:p>
    <w:p>
      <w:pPr>
        <w:numPr>
          <w:ilvl w:val="-1"/>
          <w:numId w:val="0"/>
        </w:numPr>
        <w:tabs>
          <w:tab w:val="left" w:pos="0"/>
          <w:tab w:val="left" w:pos="420"/>
        </w:tabs>
        <w:rPr>
          <w:rFonts w:hint="default" w:ascii="宋体" w:hAnsi="宋体" w:eastAsia="宋体" w:cs="宋体"/>
          <w:b/>
          <w:bCs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八、合同生效</w:t>
      </w:r>
    </w:p>
    <w:p>
      <w:pPr>
        <w:numPr>
          <w:ilvl w:val="0"/>
          <w:numId w:val="1"/>
        </w:numPr>
        <w:tabs>
          <w:tab w:val="left" w:pos="0"/>
          <w:tab w:val="left" w:pos="420"/>
        </w:tabs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default" w:ascii="宋体" w:hAnsi="宋体" w:eastAsia="宋体" w:cs="宋体"/>
          <w:szCs w:val="21"/>
          <w:lang w:val="en-US" w:eastAsia="zh-CN"/>
        </w:rPr>
        <w:t>本合同经双方法定代表人或授权代理人签字</w:t>
      </w:r>
      <w:r>
        <w:rPr>
          <w:rFonts w:hint="eastAsia" w:ascii="宋体" w:hAnsi="宋体" w:eastAsia="宋体" w:cs="宋体"/>
          <w:szCs w:val="21"/>
          <w:lang w:val="en-US" w:eastAsia="zh-CN"/>
        </w:rPr>
        <w:t>并</w:t>
      </w:r>
      <w:r>
        <w:rPr>
          <w:rFonts w:hint="default" w:ascii="宋体" w:hAnsi="宋体" w:eastAsia="宋体" w:cs="宋体"/>
          <w:szCs w:val="21"/>
          <w:lang w:val="en-US" w:eastAsia="zh-CN"/>
        </w:rPr>
        <w:t>加盖单位</w:t>
      </w:r>
      <w:r>
        <w:rPr>
          <w:rFonts w:hint="eastAsia" w:ascii="宋体" w:hAnsi="宋体" w:eastAsia="宋体" w:cs="宋体"/>
          <w:szCs w:val="21"/>
          <w:lang w:val="en-US" w:eastAsia="zh-CN"/>
        </w:rPr>
        <w:t>公</w:t>
      </w:r>
      <w:r>
        <w:rPr>
          <w:rFonts w:hint="default" w:ascii="宋体" w:hAnsi="宋体" w:eastAsia="宋体" w:cs="宋体"/>
          <w:szCs w:val="21"/>
          <w:lang w:val="en-US" w:eastAsia="zh-CN"/>
        </w:rPr>
        <w:t>章</w:t>
      </w:r>
      <w:r>
        <w:rPr>
          <w:rFonts w:hint="eastAsia" w:ascii="宋体" w:hAnsi="宋体" w:eastAsia="宋体" w:cs="宋体"/>
          <w:szCs w:val="21"/>
          <w:lang w:val="en-US" w:eastAsia="zh-CN"/>
        </w:rPr>
        <w:t>之日起</w:t>
      </w:r>
      <w:r>
        <w:rPr>
          <w:rFonts w:hint="default" w:ascii="宋体" w:hAnsi="宋体" w:eastAsia="宋体" w:cs="宋体"/>
          <w:szCs w:val="21"/>
          <w:lang w:val="en-US" w:eastAsia="zh-CN"/>
        </w:rPr>
        <w:t>生效</w:t>
      </w:r>
      <w:r>
        <w:rPr>
          <w:rFonts w:hint="eastAsia" w:ascii="宋体" w:hAnsi="宋体" w:eastAsia="宋体" w:cs="宋体"/>
          <w:szCs w:val="21"/>
          <w:lang w:val="en-US" w:eastAsia="zh-CN"/>
        </w:rPr>
        <w:t>。</w:t>
      </w:r>
    </w:p>
    <w:p>
      <w:pPr>
        <w:numPr>
          <w:ilvl w:val="0"/>
          <w:numId w:val="1"/>
        </w:numPr>
        <w:tabs>
          <w:tab w:val="left" w:pos="0"/>
          <w:tab w:val="left" w:pos="420"/>
        </w:tabs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本合同正本一式</w:t>
      </w:r>
      <w:r>
        <w:rPr>
          <w:rFonts w:hint="eastAsia" w:ascii="宋体" w:hAnsi="宋体" w:eastAsia="宋体" w:cs="宋体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两</w:t>
      </w:r>
      <w:r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份，合同双方各持一份；副本</w:t>
      </w:r>
      <w:r>
        <w:rPr>
          <w:rFonts w:hint="eastAsia" w:ascii="宋体" w:hAnsi="宋体" w:eastAsia="宋体" w:cs="宋体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八</w:t>
      </w:r>
      <w:r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份，</w:t>
      </w:r>
      <w:r>
        <w:rPr>
          <w:rFonts w:hint="eastAsia" w:ascii="宋体" w:hAnsi="宋体" w:eastAsia="宋体" w:cs="宋体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甲方持六份</w:t>
      </w:r>
      <w:r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，乙方执</w:t>
      </w:r>
      <w:r>
        <w:rPr>
          <w:rFonts w:hint="eastAsia" w:ascii="宋体" w:hAnsi="宋体" w:eastAsia="宋体" w:cs="宋体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两</w:t>
      </w:r>
      <w:r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份。</w:t>
      </w:r>
    </w:p>
    <w:p>
      <w:pPr>
        <w:pStyle w:val="46"/>
        <w:numPr>
          <w:ilvl w:val="0"/>
          <w:numId w:val="1"/>
        </w:numPr>
        <w:adjustRightInd w:val="0"/>
        <w:snapToGrid w:val="0"/>
        <w:spacing w:line="360" w:lineRule="auto"/>
        <w:ind w:firstLine="0" w:firstLineChars="0"/>
        <w:rPr>
          <w:rFonts w:ascii="宋体" w:hAnsi="宋体" w:eastAsia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本合同正文内容以打印为准，手写无效。</w:t>
      </w:r>
    </w:p>
    <w:p>
      <w:pPr>
        <w:pStyle w:val="45"/>
        <w:numPr>
          <w:ilvl w:val="-1"/>
          <w:numId w:val="0"/>
        </w:numPr>
        <w:adjustRightInd w:val="0"/>
        <w:snapToGrid w:val="0"/>
        <w:spacing w:line="360" w:lineRule="auto"/>
        <w:ind w:left="0" w:firstLine="0" w:firstLineChars="0"/>
        <w:rPr>
          <w:rFonts w:hint="eastAsia" w:ascii="宋体" w:hAnsi="宋体" w:eastAsia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numPr>
          <w:ilvl w:val="-1"/>
          <w:numId w:val="0"/>
        </w:numPr>
        <w:adjustRightInd w:val="0"/>
        <w:snapToGrid w:val="0"/>
        <w:spacing w:line="360" w:lineRule="auto"/>
        <w:ind w:left="0" w:firstLine="0" w:firstLineChars="0"/>
        <w:rPr>
          <w:rFonts w:hint="eastAsia" w:ascii="宋体" w:hAnsi="宋体" w:eastAsia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auto"/>
          <w:sz w:val="24"/>
        </w:rPr>
        <w:t>以下无正文</w:t>
      </w:r>
    </w:p>
    <w:tbl>
      <w:tblPr>
        <w:tblStyle w:val="23"/>
        <w:tblW w:w="947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10"/>
        <w:gridCol w:w="456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680" w:right="73" w:rightChars="35" w:hanging="1680" w:hangingChars="700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  <w:t>甲方（盖章）：石家庄市轨道交通</w:t>
            </w:r>
            <w:r>
              <w:rPr>
                <w:rFonts w:hint="eastAsia" w:ascii="仿宋_GB2312" w:hAnsi="仿宋_GB2312" w:eastAsia="仿宋_GB2312" w:cs="仿宋_GB2312"/>
                <w:bCs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auto"/>
              </w:rPr>
              <w:t>集团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  <w:t xml:space="preserve">有限责任公司 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  <w:t>乙方（盖章）：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color w:val="auto"/>
                <w:kern w:val="0"/>
                <w:sz w:val="24"/>
                <w:lang w:eastAsia="zh-CN"/>
              </w:rPr>
              <w:t>法定代表人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  <w:t>或委托人（签章）：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cs="仿宋_GB2312"/>
                <w:color w:val="auto"/>
                <w:kern w:val="0"/>
                <w:sz w:val="24"/>
                <w:lang w:eastAsia="zh-CN"/>
              </w:rPr>
              <w:t>法定代表人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  <w:t>或委托人（签章）：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-178" w:rightChars="-85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  <w:t>时间：   年    月    日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-178" w:rightChars="-85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  <w:t>时间：   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-178" w:rightChars="-85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  <w:t>单位地址：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lang w:val="en-US" w:eastAsia="zh-CN"/>
              </w:rPr>
              <w:t>河北省石家庄市高新区秦岭大街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-178" w:rightChars="-85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lang w:val="en-US" w:eastAsia="zh-CN"/>
              </w:rPr>
              <w:t>116号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-178" w:rightChars="-85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  <w:t>单位地址：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lang w:val="en-US" w:eastAsia="zh-CN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-178" w:rightChars="-85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  <w:t>电话：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-178" w:rightChars="-85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  <w:t>电话：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-178" w:rightChars="-85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  <w:t>传真：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highlight w:val="none"/>
              </w:rPr>
              <w:t>0311-</w:t>
            </w:r>
            <w:r>
              <w:rPr>
                <w:rFonts w:hint="eastAsia" w:ascii="仿宋_GB2312" w:hAnsi="仿宋_GB2312" w:cs="仿宋_GB2312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66520719</w:t>
            </w:r>
          </w:p>
        </w:tc>
        <w:tc>
          <w:tcPr>
            <w:tcW w:w="456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-178" w:rightChars="-85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  <w:t>传真：</w:t>
            </w:r>
          </w:p>
        </w:tc>
      </w:tr>
    </w:tbl>
    <w:p>
      <w:pPr>
        <w:pStyle w:val="45"/>
        <w:numPr>
          <w:ilvl w:val="-1"/>
          <w:numId w:val="0"/>
        </w:numPr>
        <w:adjustRightInd w:val="0"/>
        <w:snapToGrid w:val="0"/>
        <w:spacing w:line="360" w:lineRule="auto"/>
        <w:ind w:left="0" w:firstLine="0" w:firstLineChars="0"/>
        <w:rPr>
          <w:rFonts w:hint="eastAsia" w:ascii="宋体" w:hAnsi="宋体" w:eastAsia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pStyle w:val="45"/>
        <w:numPr>
          <w:ilvl w:val="0"/>
          <w:numId w:val="0"/>
        </w:numPr>
        <w:adjustRightInd w:val="0"/>
        <w:snapToGrid w:val="0"/>
        <w:spacing w:line="360" w:lineRule="auto"/>
        <w:ind w:left="0" w:firstLine="0" w:firstLineChars="0"/>
        <w:rPr>
          <w:rFonts w:hint="eastAsia" w:ascii="宋体" w:hAnsi="宋体" w:eastAsia="宋体" w:cs="宋体"/>
          <w:szCs w:val="21"/>
        </w:rPr>
      </w:pPr>
    </w:p>
    <w:p>
      <w:pPr>
        <w:adjustRightInd w:val="0"/>
        <w:snapToGrid w:val="0"/>
        <w:spacing w:line="360" w:lineRule="auto"/>
        <w:rPr>
          <w:rFonts w:hint="eastAsia" w:ascii="宋体" w:hAnsi="宋体" w:eastAsia="宋体" w:cs="宋体"/>
          <w:szCs w:val="21"/>
        </w:rPr>
      </w:pP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1440" w:right="1800" w:bottom="1440" w:left="1800" w:header="0" w:footer="510" w:gutter="0"/>
      <w:pgNumType w:start="1"/>
      <w:cols w:space="720" w:num="1"/>
      <w:docGrid w:type="lines"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4"/>
    </w:pPr>
    <w:r>
      <w:rPr>
        <w:rStyle w:val="27"/>
        <w:rFonts w:hint="eastAsia"/>
      </w:rPr>
      <w:t>第</w:t>
    </w:r>
    <w:r>
      <w:rPr>
        <w:rStyle w:val="27"/>
      </w:rPr>
      <w:fldChar w:fldCharType="begin"/>
    </w:r>
    <w:r>
      <w:rPr>
        <w:rStyle w:val="27"/>
      </w:rPr>
      <w:instrText xml:space="preserve"> PAGE </w:instrText>
    </w:r>
    <w:r>
      <w:rPr>
        <w:rStyle w:val="27"/>
      </w:rPr>
      <w:fldChar w:fldCharType="separate"/>
    </w:r>
    <w:r>
      <w:rPr>
        <w:rStyle w:val="27"/>
      </w:rPr>
      <w:t>4</w:t>
    </w:r>
    <w:r>
      <w:rPr>
        <w:rStyle w:val="27"/>
      </w:rPr>
      <w:fldChar w:fldCharType="end"/>
    </w:r>
    <w:r>
      <w:rPr>
        <w:rStyle w:val="27"/>
        <w:rFonts w:hint="eastAsia"/>
      </w:rPr>
      <w:t>页</w:t>
    </w:r>
    <w:r>
      <w:rPr>
        <w:rStyle w:val="27"/>
      </w:rPr>
      <w:t xml:space="preserve"> </w:t>
    </w:r>
    <w:r>
      <w:rPr>
        <w:rStyle w:val="27"/>
        <w:rFonts w:hint="eastAsia"/>
      </w:rPr>
      <w:t>共</w:t>
    </w:r>
    <w:r>
      <w:rPr>
        <w:rStyle w:val="27"/>
      </w:rPr>
      <w:fldChar w:fldCharType="begin"/>
    </w:r>
    <w:r>
      <w:rPr>
        <w:rStyle w:val="27"/>
      </w:rPr>
      <w:instrText xml:space="preserve"> NUMPAGES </w:instrText>
    </w:r>
    <w:r>
      <w:rPr>
        <w:rStyle w:val="27"/>
      </w:rPr>
      <w:fldChar w:fldCharType="separate"/>
    </w:r>
    <w:r>
      <w:rPr>
        <w:rStyle w:val="27"/>
      </w:rPr>
      <w:t>4</w:t>
    </w:r>
    <w:r>
      <w:rPr>
        <w:rStyle w:val="27"/>
      </w:rPr>
      <w:fldChar w:fldCharType="end"/>
    </w:r>
    <w:r>
      <w:rPr>
        <w:rStyle w:val="27"/>
        <w:rFonts w:hint="eastAsia"/>
      </w:rPr>
      <w:t>页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firstLine="420"/>
    </w:pPr>
  </w:p>
  <w:p>
    <w:pPr>
      <w:ind w:firstLine="42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5"/>
      <w:ind w:firstLine="42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E230FC5"/>
    <w:multiLevelType w:val="singleLevel"/>
    <w:tmpl w:val="1E230FC5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gutterAtTop/>
  <w:trackRevisions w:val="1"/>
  <w:documentProtection w:edit="trackedChanges" w:formatting="1" w:enforcement="0"/>
  <w:defaultTabStop w:val="424"/>
  <w:drawingGridHorizontalSpacing w:val="105"/>
  <w:drawingGridVerticalSpacing w:val="143"/>
  <w:displayHorizontalDrawingGridEvery w:val="1"/>
  <w:displayVerticalDrawingGridEvery w:val="1"/>
  <w:noPunctuationKerning w:val="1"/>
  <w:characterSpacingControl w:val="compressPunctuation"/>
  <w:noLineBreaksAfter w:lang="zh-CN" w:val="([{·‘“〈《「『【〔〖﹙﹛﹝＄（．［｛￡￥"/>
  <w:noLineBreaksBefore w:lang="zh-CN" w:val="!),.:;?]}¨·ˇˉ—‖’”…∶、。〃々〉》」』】〕〗﹚﹜﹞！＂％＇），．：；？］｀｜｝～￠"/>
  <w:compat>
    <w:spaceForUL/>
    <w:balanceSingleByteDoubleByteWidth/>
    <w:doNotLeaveBackslashAlone/>
    <w:ulTrailSpace/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I1ZjI2YzY2NTQ3Y2Q4MmRhYjZiMTMxZjZmNDZmOWYifQ=="/>
  </w:docVars>
  <w:rsids>
    <w:rsidRoot w:val="001419FB"/>
    <w:rsid w:val="000021F0"/>
    <w:rsid w:val="00005995"/>
    <w:rsid w:val="000129CC"/>
    <w:rsid w:val="00012B4B"/>
    <w:rsid w:val="000130BC"/>
    <w:rsid w:val="000301BA"/>
    <w:rsid w:val="00030314"/>
    <w:rsid w:val="00033FDF"/>
    <w:rsid w:val="00046501"/>
    <w:rsid w:val="000525F9"/>
    <w:rsid w:val="00065999"/>
    <w:rsid w:val="00070EA2"/>
    <w:rsid w:val="00083AC0"/>
    <w:rsid w:val="00092F80"/>
    <w:rsid w:val="000958CF"/>
    <w:rsid w:val="000B57FE"/>
    <w:rsid w:val="000B738A"/>
    <w:rsid w:val="000B767A"/>
    <w:rsid w:val="000D74C8"/>
    <w:rsid w:val="000E19D4"/>
    <w:rsid w:val="000E34EB"/>
    <w:rsid w:val="000E5766"/>
    <w:rsid w:val="000F0CAF"/>
    <w:rsid w:val="000F5238"/>
    <w:rsid w:val="000F56C4"/>
    <w:rsid w:val="000F6ED2"/>
    <w:rsid w:val="0012090C"/>
    <w:rsid w:val="00124175"/>
    <w:rsid w:val="001419FB"/>
    <w:rsid w:val="001476AE"/>
    <w:rsid w:val="001772CC"/>
    <w:rsid w:val="00191DD3"/>
    <w:rsid w:val="001A35B3"/>
    <w:rsid w:val="001A678F"/>
    <w:rsid w:val="001A7C99"/>
    <w:rsid w:val="001B6914"/>
    <w:rsid w:val="001C2E8B"/>
    <w:rsid w:val="001C39BB"/>
    <w:rsid w:val="001C4427"/>
    <w:rsid w:val="001E5F56"/>
    <w:rsid w:val="001E6008"/>
    <w:rsid w:val="001F0C1E"/>
    <w:rsid w:val="002036E2"/>
    <w:rsid w:val="0021634B"/>
    <w:rsid w:val="00216884"/>
    <w:rsid w:val="00217871"/>
    <w:rsid w:val="00220C7F"/>
    <w:rsid w:val="0023201E"/>
    <w:rsid w:val="00242FBA"/>
    <w:rsid w:val="002550EE"/>
    <w:rsid w:val="00256946"/>
    <w:rsid w:val="0025759B"/>
    <w:rsid w:val="00276640"/>
    <w:rsid w:val="00284926"/>
    <w:rsid w:val="002A05FB"/>
    <w:rsid w:val="002A306D"/>
    <w:rsid w:val="002A5F27"/>
    <w:rsid w:val="002B3265"/>
    <w:rsid w:val="002C3848"/>
    <w:rsid w:val="002D4ABF"/>
    <w:rsid w:val="002D55C4"/>
    <w:rsid w:val="002E0D01"/>
    <w:rsid w:val="002E6D02"/>
    <w:rsid w:val="002E743D"/>
    <w:rsid w:val="00310A2C"/>
    <w:rsid w:val="00316907"/>
    <w:rsid w:val="00334B57"/>
    <w:rsid w:val="00335C58"/>
    <w:rsid w:val="003437E2"/>
    <w:rsid w:val="00350FDE"/>
    <w:rsid w:val="00352BB9"/>
    <w:rsid w:val="00355574"/>
    <w:rsid w:val="00375E86"/>
    <w:rsid w:val="0037613F"/>
    <w:rsid w:val="003848CC"/>
    <w:rsid w:val="00393889"/>
    <w:rsid w:val="00397985"/>
    <w:rsid w:val="003A7062"/>
    <w:rsid w:val="003B0CEC"/>
    <w:rsid w:val="003D1645"/>
    <w:rsid w:val="003D2CD4"/>
    <w:rsid w:val="003D2E2D"/>
    <w:rsid w:val="003E11AF"/>
    <w:rsid w:val="003F0290"/>
    <w:rsid w:val="003F73DB"/>
    <w:rsid w:val="0041461E"/>
    <w:rsid w:val="00456CEA"/>
    <w:rsid w:val="004609FF"/>
    <w:rsid w:val="00461D0E"/>
    <w:rsid w:val="00464508"/>
    <w:rsid w:val="00471584"/>
    <w:rsid w:val="004746EF"/>
    <w:rsid w:val="0049262F"/>
    <w:rsid w:val="00494A48"/>
    <w:rsid w:val="004C16E3"/>
    <w:rsid w:val="004C5533"/>
    <w:rsid w:val="004D0FCC"/>
    <w:rsid w:val="004D2A0F"/>
    <w:rsid w:val="004E0C56"/>
    <w:rsid w:val="004E4121"/>
    <w:rsid w:val="004E45F0"/>
    <w:rsid w:val="004F18C6"/>
    <w:rsid w:val="005049C3"/>
    <w:rsid w:val="00504DF0"/>
    <w:rsid w:val="00505DE2"/>
    <w:rsid w:val="00537D6C"/>
    <w:rsid w:val="005577C5"/>
    <w:rsid w:val="00561282"/>
    <w:rsid w:val="0056549E"/>
    <w:rsid w:val="00592939"/>
    <w:rsid w:val="00592F9F"/>
    <w:rsid w:val="005A0E3B"/>
    <w:rsid w:val="005C67CB"/>
    <w:rsid w:val="005D2D3C"/>
    <w:rsid w:val="005D5F3D"/>
    <w:rsid w:val="005E0022"/>
    <w:rsid w:val="005F0386"/>
    <w:rsid w:val="005F294E"/>
    <w:rsid w:val="00605FB8"/>
    <w:rsid w:val="006373AC"/>
    <w:rsid w:val="00643862"/>
    <w:rsid w:val="00646F51"/>
    <w:rsid w:val="006577A4"/>
    <w:rsid w:val="00670994"/>
    <w:rsid w:val="00671F7F"/>
    <w:rsid w:val="0067479D"/>
    <w:rsid w:val="0069316B"/>
    <w:rsid w:val="006A3065"/>
    <w:rsid w:val="006B7006"/>
    <w:rsid w:val="006C452D"/>
    <w:rsid w:val="006E3120"/>
    <w:rsid w:val="006E31E4"/>
    <w:rsid w:val="006E474C"/>
    <w:rsid w:val="006F59A6"/>
    <w:rsid w:val="006F66F2"/>
    <w:rsid w:val="00701742"/>
    <w:rsid w:val="007204E9"/>
    <w:rsid w:val="00731B8D"/>
    <w:rsid w:val="00737FEA"/>
    <w:rsid w:val="007434EC"/>
    <w:rsid w:val="00762A89"/>
    <w:rsid w:val="0076752E"/>
    <w:rsid w:val="00783472"/>
    <w:rsid w:val="0079736C"/>
    <w:rsid w:val="007A3B7C"/>
    <w:rsid w:val="007B064B"/>
    <w:rsid w:val="007B179C"/>
    <w:rsid w:val="007D0CAF"/>
    <w:rsid w:val="007D1A3E"/>
    <w:rsid w:val="007D3611"/>
    <w:rsid w:val="007D4D5A"/>
    <w:rsid w:val="007D5E77"/>
    <w:rsid w:val="007E0342"/>
    <w:rsid w:val="007F189C"/>
    <w:rsid w:val="00815FBC"/>
    <w:rsid w:val="00822FCB"/>
    <w:rsid w:val="008337BF"/>
    <w:rsid w:val="00836585"/>
    <w:rsid w:val="00845C66"/>
    <w:rsid w:val="00847738"/>
    <w:rsid w:val="00875443"/>
    <w:rsid w:val="00896CE1"/>
    <w:rsid w:val="00897014"/>
    <w:rsid w:val="008B1E4E"/>
    <w:rsid w:val="008C3790"/>
    <w:rsid w:val="008D3B47"/>
    <w:rsid w:val="008D64F5"/>
    <w:rsid w:val="008F5D02"/>
    <w:rsid w:val="008F662F"/>
    <w:rsid w:val="0090143E"/>
    <w:rsid w:val="0090201B"/>
    <w:rsid w:val="00927CD6"/>
    <w:rsid w:val="00955815"/>
    <w:rsid w:val="009A2A5A"/>
    <w:rsid w:val="009C34B0"/>
    <w:rsid w:val="009C7B90"/>
    <w:rsid w:val="009D0EAE"/>
    <w:rsid w:val="009E6F7F"/>
    <w:rsid w:val="009F61D9"/>
    <w:rsid w:val="00A127D0"/>
    <w:rsid w:val="00A152A0"/>
    <w:rsid w:val="00A27E85"/>
    <w:rsid w:val="00A31C61"/>
    <w:rsid w:val="00A32B07"/>
    <w:rsid w:val="00A35635"/>
    <w:rsid w:val="00A4623A"/>
    <w:rsid w:val="00A77659"/>
    <w:rsid w:val="00A840C1"/>
    <w:rsid w:val="00A846B3"/>
    <w:rsid w:val="00A86323"/>
    <w:rsid w:val="00AA02DD"/>
    <w:rsid w:val="00AB3482"/>
    <w:rsid w:val="00AB6596"/>
    <w:rsid w:val="00AC20D0"/>
    <w:rsid w:val="00AD1CD6"/>
    <w:rsid w:val="00AD2A35"/>
    <w:rsid w:val="00AE67A0"/>
    <w:rsid w:val="00AF2EE8"/>
    <w:rsid w:val="00B049F2"/>
    <w:rsid w:val="00B17443"/>
    <w:rsid w:val="00B3392A"/>
    <w:rsid w:val="00B51FF5"/>
    <w:rsid w:val="00B54B40"/>
    <w:rsid w:val="00B56CF4"/>
    <w:rsid w:val="00B622D6"/>
    <w:rsid w:val="00B644F7"/>
    <w:rsid w:val="00B7229B"/>
    <w:rsid w:val="00B913EF"/>
    <w:rsid w:val="00B938D6"/>
    <w:rsid w:val="00BA1CE9"/>
    <w:rsid w:val="00BA224C"/>
    <w:rsid w:val="00BA2F0A"/>
    <w:rsid w:val="00BA7C37"/>
    <w:rsid w:val="00BB05C1"/>
    <w:rsid w:val="00BB6E16"/>
    <w:rsid w:val="00BE2F73"/>
    <w:rsid w:val="00BE73E4"/>
    <w:rsid w:val="00BF5CCC"/>
    <w:rsid w:val="00BF6F72"/>
    <w:rsid w:val="00C042E3"/>
    <w:rsid w:val="00C2168D"/>
    <w:rsid w:val="00C43FB4"/>
    <w:rsid w:val="00C47D61"/>
    <w:rsid w:val="00C51105"/>
    <w:rsid w:val="00C7141E"/>
    <w:rsid w:val="00C73818"/>
    <w:rsid w:val="00C815CA"/>
    <w:rsid w:val="00CA2361"/>
    <w:rsid w:val="00CB6609"/>
    <w:rsid w:val="00CC2B46"/>
    <w:rsid w:val="00CD4D21"/>
    <w:rsid w:val="00CE0CAE"/>
    <w:rsid w:val="00CF76EE"/>
    <w:rsid w:val="00D00B44"/>
    <w:rsid w:val="00D028AA"/>
    <w:rsid w:val="00D35A7A"/>
    <w:rsid w:val="00D42B26"/>
    <w:rsid w:val="00D5110F"/>
    <w:rsid w:val="00D555D3"/>
    <w:rsid w:val="00D670EC"/>
    <w:rsid w:val="00D71BFF"/>
    <w:rsid w:val="00D87ABD"/>
    <w:rsid w:val="00DA4D90"/>
    <w:rsid w:val="00DA6897"/>
    <w:rsid w:val="00DA73C6"/>
    <w:rsid w:val="00DB61CA"/>
    <w:rsid w:val="00DC643E"/>
    <w:rsid w:val="00DD0E27"/>
    <w:rsid w:val="00DD6484"/>
    <w:rsid w:val="00DF3CFF"/>
    <w:rsid w:val="00DF6324"/>
    <w:rsid w:val="00E05565"/>
    <w:rsid w:val="00E06098"/>
    <w:rsid w:val="00E14857"/>
    <w:rsid w:val="00E31029"/>
    <w:rsid w:val="00E52798"/>
    <w:rsid w:val="00E6720C"/>
    <w:rsid w:val="00E6722C"/>
    <w:rsid w:val="00E73CBB"/>
    <w:rsid w:val="00E90574"/>
    <w:rsid w:val="00E909AF"/>
    <w:rsid w:val="00E93465"/>
    <w:rsid w:val="00EA1C37"/>
    <w:rsid w:val="00EA6DA1"/>
    <w:rsid w:val="00EB6488"/>
    <w:rsid w:val="00ED1026"/>
    <w:rsid w:val="00ED6221"/>
    <w:rsid w:val="00EF3C5C"/>
    <w:rsid w:val="00F01887"/>
    <w:rsid w:val="00F02034"/>
    <w:rsid w:val="00F17247"/>
    <w:rsid w:val="00F21436"/>
    <w:rsid w:val="00F230FA"/>
    <w:rsid w:val="00F31688"/>
    <w:rsid w:val="00F325D7"/>
    <w:rsid w:val="00F3305B"/>
    <w:rsid w:val="00F33A38"/>
    <w:rsid w:val="00F34087"/>
    <w:rsid w:val="00F40D24"/>
    <w:rsid w:val="00F41DED"/>
    <w:rsid w:val="00F44D57"/>
    <w:rsid w:val="00F46DD5"/>
    <w:rsid w:val="00F55F63"/>
    <w:rsid w:val="00F61F19"/>
    <w:rsid w:val="00F96E72"/>
    <w:rsid w:val="00FB1CD1"/>
    <w:rsid w:val="00FC4EF7"/>
    <w:rsid w:val="00FC5250"/>
    <w:rsid w:val="00FE4C26"/>
    <w:rsid w:val="00FF1DCF"/>
    <w:rsid w:val="00FF2DBF"/>
    <w:rsid w:val="00FF5595"/>
    <w:rsid w:val="01155113"/>
    <w:rsid w:val="01200821"/>
    <w:rsid w:val="015A38B2"/>
    <w:rsid w:val="022D1CEB"/>
    <w:rsid w:val="023261A1"/>
    <w:rsid w:val="02AF1649"/>
    <w:rsid w:val="02EB03ED"/>
    <w:rsid w:val="03591BD4"/>
    <w:rsid w:val="04F87946"/>
    <w:rsid w:val="051050EA"/>
    <w:rsid w:val="051D04B8"/>
    <w:rsid w:val="05B55AE2"/>
    <w:rsid w:val="06B960B3"/>
    <w:rsid w:val="07D655E3"/>
    <w:rsid w:val="083D4B27"/>
    <w:rsid w:val="09144D30"/>
    <w:rsid w:val="0950293E"/>
    <w:rsid w:val="09B55293"/>
    <w:rsid w:val="09D24347"/>
    <w:rsid w:val="09FF799D"/>
    <w:rsid w:val="0CA4420C"/>
    <w:rsid w:val="0D405600"/>
    <w:rsid w:val="0DBB0136"/>
    <w:rsid w:val="0DD32720"/>
    <w:rsid w:val="0FD175D3"/>
    <w:rsid w:val="100D093D"/>
    <w:rsid w:val="116A59A1"/>
    <w:rsid w:val="125B5CA3"/>
    <w:rsid w:val="132B2B81"/>
    <w:rsid w:val="13341D1A"/>
    <w:rsid w:val="138501A1"/>
    <w:rsid w:val="13A21EA7"/>
    <w:rsid w:val="13FD58A4"/>
    <w:rsid w:val="1541451B"/>
    <w:rsid w:val="15580FD7"/>
    <w:rsid w:val="156E5FB4"/>
    <w:rsid w:val="15BF55B4"/>
    <w:rsid w:val="16945B22"/>
    <w:rsid w:val="170713DE"/>
    <w:rsid w:val="179D550E"/>
    <w:rsid w:val="17D32CCD"/>
    <w:rsid w:val="185670CB"/>
    <w:rsid w:val="18FB7C06"/>
    <w:rsid w:val="19402C2E"/>
    <w:rsid w:val="1A962844"/>
    <w:rsid w:val="1AD70C00"/>
    <w:rsid w:val="1AFC21D4"/>
    <w:rsid w:val="1C0A4B03"/>
    <w:rsid w:val="1CAB58B6"/>
    <w:rsid w:val="1DFD3035"/>
    <w:rsid w:val="1E3756B4"/>
    <w:rsid w:val="1E4F6004"/>
    <w:rsid w:val="219175BF"/>
    <w:rsid w:val="21D53D67"/>
    <w:rsid w:val="223257F3"/>
    <w:rsid w:val="226B462A"/>
    <w:rsid w:val="253E616A"/>
    <w:rsid w:val="26A52F06"/>
    <w:rsid w:val="26C1013C"/>
    <w:rsid w:val="277A164E"/>
    <w:rsid w:val="2803123F"/>
    <w:rsid w:val="28D81B95"/>
    <w:rsid w:val="28EA2FB7"/>
    <w:rsid w:val="298E58F5"/>
    <w:rsid w:val="29D63C0A"/>
    <w:rsid w:val="2A813C04"/>
    <w:rsid w:val="2AEA64D5"/>
    <w:rsid w:val="2B381349"/>
    <w:rsid w:val="2BCB1838"/>
    <w:rsid w:val="2C6F207C"/>
    <w:rsid w:val="2D0B79A5"/>
    <w:rsid w:val="2D9E7FC6"/>
    <w:rsid w:val="2DBB36EE"/>
    <w:rsid w:val="2E6620D8"/>
    <w:rsid w:val="30897CB8"/>
    <w:rsid w:val="30CE4F65"/>
    <w:rsid w:val="30F95069"/>
    <w:rsid w:val="31140EC6"/>
    <w:rsid w:val="3117579E"/>
    <w:rsid w:val="318F0F7E"/>
    <w:rsid w:val="322569EA"/>
    <w:rsid w:val="323B3471"/>
    <w:rsid w:val="338B2D82"/>
    <w:rsid w:val="34F53F12"/>
    <w:rsid w:val="351175C8"/>
    <w:rsid w:val="3558643B"/>
    <w:rsid w:val="38EB4E10"/>
    <w:rsid w:val="3A3854AC"/>
    <w:rsid w:val="3A47748A"/>
    <w:rsid w:val="3A7E2ECD"/>
    <w:rsid w:val="3B5051E7"/>
    <w:rsid w:val="3B7C7D7E"/>
    <w:rsid w:val="3D1A70F4"/>
    <w:rsid w:val="3EF34904"/>
    <w:rsid w:val="40C90991"/>
    <w:rsid w:val="416C025B"/>
    <w:rsid w:val="41961A29"/>
    <w:rsid w:val="42543D24"/>
    <w:rsid w:val="42A0740E"/>
    <w:rsid w:val="43856753"/>
    <w:rsid w:val="459E6823"/>
    <w:rsid w:val="45A40BDC"/>
    <w:rsid w:val="46685D34"/>
    <w:rsid w:val="47A72A9F"/>
    <w:rsid w:val="47DE29E0"/>
    <w:rsid w:val="480C2450"/>
    <w:rsid w:val="48FD49C2"/>
    <w:rsid w:val="4A1B1005"/>
    <w:rsid w:val="4A3360FF"/>
    <w:rsid w:val="4AB743E9"/>
    <w:rsid w:val="4B1A31C6"/>
    <w:rsid w:val="4C9E6726"/>
    <w:rsid w:val="4CAE674B"/>
    <w:rsid w:val="4D115FC4"/>
    <w:rsid w:val="4D9C1893"/>
    <w:rsid w:val="4EDB5EF9"/>
    <w:rsid w:val="4F471D9D"/>
    <w:rsid w:val="50183B0E"/>
    <w:rsid w:val="501A4817"/>
    <w:rsid w:val="50350A1F"/>
    <w:rsid w:val="505379C7"/>
    <w:rsid w:val="50F924F9"/>
    <w:rsid w:val="51305663"/>
    <w:rsid w:val="513E74EB"/>
    <w:rsid w:val="51CC1272"/>
    <w:rsid w:val="52820391"/>
    <w:rsid w:val="52F454F0"/>
    <w:rsid w:val="54546F98"/>
    <w:rsid w:val="54B65837"/>
    <w:rsid w:val="55D62794"/>
    <w:rsid w:val="5626325B"/>
    <w:rsid w:val="56720319"/>
    <w:rsid w:val="57143338"/>
    <w:rsid w:val="583C05D6"/>
    <w:rsid w:val="592237B8"/>
    <w:rsid w:val="5962283D"/>
    <w:rsid w:val="5966683F"/>
    <w:rsid w:val="59AE3387"/>
    <w:rsid w:val="59EB12AC"/>
    <w:rsid w:val="59FB6B54"/>
    <w:rsid w:val="5A06482F"/>
    <w:rsid w:val="5A3C019D"/>
    <w:rsid w:val="5A5C43ED"/>
    <w:rsid w:val="5AEB1997"/>
    <w:rsid w:val="5B300EDA"/>
    <w:rsid w:val="5B3B4730"/>
    <w:rsid w:val="5D624E5A"/>
    <w:rsid w:val="5D7007E2"/>
    <w:rsid w:val="60941872"/>
    <w:rsid w:val="62803B0D"/>
    <w:rsid w:val="635639FD"/>
    <w:rsid w:val="643549B0"/>
    <w:rsid w:val="65C02970"/>
    <w:rsid w:val="66143728"/>
    <w:rsid w:val="669C7618"/>
    <w:rsid w:val="66CF2D3D"/>
    <w:rsid w:val="67486072"/>
    <w:rsid w:val="67703084"/>
    <w:rsid w:val="686627C1"/>
    <w:rsid w:val="68E6252B"/>
    <w:rsid w:val="69076768"/>
    <w:rsid w:val="69286EC9"/>
    <w:rsid w:val="69ED4453"/>
    <w:rsid w:val="6B43521D"/>
    <w:rsid w:val="6CD43F3A"/>
    <w:rsid w:val="6D052D61"/>
    <w:rsid w:val="6D70695E"/>
    <w:rsid w:val="6E906864"/>
    <w:rsid w:val="6F000B74"/>
    <w:rsid w:val="709629EE"/>
    <w:rsid w:val="70A278AA"/>
    <w:rsid w:val="70A32AB7"/>
    <w:rsid w:val="70C918E0"/>
    <w:rsid w:val="71096985"/>
    <w:rsid w:val="714E02EE"/>
    <w:rsid w:val="71F445E8"/>
    <w:rsid w:val="7281503B"/>
    <w:rsid w:val="72F46DE6"/>
    <w:rsid w:val="73F457FF"/>
    <w:rsid w:val="7411069B"/>
    <w:rsid w:val="747730F1"/>
    <w:rsid w:val="74962492"/>
    <w:rsid w:val="74FC125E"/>
    <w:rsid w:val="751A6362"/>
    <w:rsid w:val="75B138B5"/>
    <w:rsid w:val="76024604"/>
    <w:rsid w:val="76A60EA8"/>
    <w:rsid w:val="77BE02DD"/>
    <w:rsid w:val="77C61804"/>
    <w:rsid w:val="788A5C0E"/>
    <w:rsid w:val="78BC5B35"/>
    <w:rsid w:val="79740634"/>
    <w:rsid w:val="79937A25"/>
    <w:rsid w:val="7AC02A1D"/>
    <w:rsid w:val="7BD539B7"/>
    <w:rsid w:val="7DC168F1"/>
    <w:rsid w:val="7DD03218"/>
    <w:rsid w:val="7E02540C"/>
    <w:rsid w:val="7ECE5842"/>
    <w:rsid w:val="7F20168F"/>
    <w:rsid w:val="7F4F40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nhideWhenUsed="0" w:uiPriority="99" w:semiHidden="0" w:name="heading 2"/>
    <w:lsdException w:qFormat="1" w:unhideWhenUsed="0" w:uiPriority="99" w:semiHidden="0" w:name="heading 3"/>
    <w:lsdException w:qFormat="1" w:unhideWhenUsed="0" w:uiPriority="99" w:semiHidden="0" w:name="heading 4"/>
    <w:lsdException w:qFormat="1" w:unhideWhenUsed="0" w:uiPriority="99" w:semiHidden="0" w:name="heading 5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qFormat="1" w:unhideWhenUsed="0" w:uiPriority="99" w:name="toc 1"/>
    <w:lsdException w:qFormat="1" w:unhideWhenUsed="0" w:uiPriority="99" w:name="toc 2"/>
    <w:lsdException w:qFormat="1" w:unhideWhenUsed="0" w:uiPriority="99" w:name="toc 3"/>
    <w:lsdException w:qFormat="1" w:unhideWhenUsed="0" w:uiPriority="99" w:name="toc 4"/>
    <w:lsdException w:qFormat="1" w:unhideWhenUsed="0" w:uiPriority="99" w:name="toc 5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iPriority="99" w:name="Normal Indent" w:locked="1"/>
    <w:lsdException w:uiPriority="99" w:name="footnote text" w:locked="1"/>
    <w:lsdException w:qFormat="1" w:uiPriority="99" w:semiHidden="0" w:name="annotation text" w:locked="1"/>
    <w:lsdException w:qFormat="1" w:unhideWhenUsed="0" w:uiPriority="99" w:name="header"/>
    <w:lsdException w:qFormat="1" w:unhideWhenUsed="0" w:uiPriority="99" w:semiHidden="0" w:name="footer"/>
    <w:lsdException w:uiPriority="99" w:name="index heading" w:locked="1"/>
    <w:lsdException w:qFormat="1" w:uiPriority="35" w:name="caption" w:locked="1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qFormat="1" w:uiPriority="99" w:semiHidden="0" w:name="annotation reference" w:locked="1"/>
    <w:lsdException w:uiPriority="99" w:name="line number" w:locked="1"/>
    <w:lsdException w:qFormat="1" w:unhideWhenUsed="0" w:uiPriority="99" w:name="page number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qFormat="1" w:unhideWhenUsed="0" w:uiPriority="99" w:name="List Bullet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10" w:semiHidden="0" w:name="Title" w:locked="1"/>
    <w:lsdException w:uiPriority="99" w:name="Closing" w:locked="1"/>
    <w:lsdException w:uiPriority="99" w:name="Signature" w:locked="1"/>
    <w:lsdException w:qFormat="1" w:uiPriority="1" w:semiHidden="0" w:name="Default Paragraph Font"/>
    <w:lsdException w:qFormat="1" w:unhideWhenUsed="0" w:uiPriority="99" w:semiHidden="0" w:name="Body Text"/>
    <w:lsdException w:qFormat="1" w:unhideWhenUsed="0" w:uiPriority="99" w:semiHidden="0" w:name="Body Text Indent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0" w:semiHidden="0" w:name="Subtitle" w:locked="1"/>
    <w:lsdException w:uiPriority="99" w:name="Salutation" w:locked="1"/>
    <w:lsdException w:uiPriority="99" w:name="Date" w:locked="1"/>
    <w:lsdException w:uiPriority="99" w:name="Body Text First Indent" w:locked="1"/>
    <w:lsdException w:qFormat="1" w:unhideWhenUsed="0" w:uiPriority="0" w:semiHidden="0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qFormat="1" w:unhideWhenUsed="0" w:uiPriority="99" w:name="Hyperlink"/>
    <w:lsdException w:qFormat="1" w:unhideWhenUsed="0" w:uiPriority="99" w:name="FollowedHyperlink"/>
    <w:lsdException w:qFormat="1" w:unhideWhenUsed="0" w:uiPriority="99" w:semiHidden="0" w:name="Strong"/>
    <w:lsdException w:qFormat="1" w:unhideWhenUsed="0" w:uiPriority="99" w:semiHidden="0" w:name="Emphasis"/>
    <w:lsdException w:uiPriority="99" w:name="Document Map" w:locked="1"/>
    <w:lsdException w:uiPriority="99" w:name="Plain Text" w:locked="1"/>
    <w:lsdException w:uiPriority="99" w:name="E-mail Signature" w:locked="1"/>
    <w:lsdException w:qFormat="1" w:unhideWhenUsed="0" w:uiPriority="99" w:name="Normal (Web)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semiHidden="0" w:name="Normal Table"/>
    <w:lsdException w:qFormat="1" w:uiPriority="99" w:semiHidden="0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qFormat="1" w:unhideWhenUsed="0" w:uiPriority="99" w:name="Balloon Text"/>
    <w:lsdException w:qFormat="1" w:unhideWhenUsed="0" w:uiPriority="59" w:semiHidden="0" w:name="Table Grid" w:locked="1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2"/>
    <w:link w:val="32"/>
    <w:qFormat/>
    <w:uiPriority w:val="99"/>
    <w:pPr>
      <w:keepNext/>
      <w:spacing w:beforeLines="100" w:afterLines="100"/>
      <w:jc w:val="center"/>
      <w:outlineLvl w:val="0"/>
    </w:pPr>
    <w:rPr>
      <w:b/>
      <w:bCs/>
      <w:kern w:val="44"/>
      <w:sz w:val="44"/>
      <w:szCs w:val="44"/>
      <w:lang w:bidi="he-IL"/>
    </w:rPr>
  </w:style>
  <w:style w:type="paragraph" w:styleId="2">
    <w:name w:val="heading 2"/>
    <w:basedOn w:val="1"/>
    <w:next w:val="1"/>
    <w:link w:val="33"/>
    <w:qFormat/>
    <w:uiPriority w:val="99"/>
    <w:pPr>
      <w:keepNext/>
      <w:keepLines/>
      <w:spacing w:before="260" w:after="260"/>
      <w:outlineLvl w:val="1"/>
    </w:pPr>
    <w:rPr>
      <w:rFonts w:ascii="Cambria" w:hAnsi="Cambria" w:eastAsia="宋体"/>
      <w:b/>
      <w:bCs/>
      <w:kern w:val="0"/>
      <w:sz w:val="32"/>
      <w:szCs w:val="32"/>
      <w:lang w:bidi="he-IL"/>
    </w:rPr>
  </w:style>
  <w:style w:type="paragraph" w:styleId="4">
    <w:name w:val="heading 3"/>
    <w:basedOn w:val="1"/>
    <w:next w:val="1"/>
    <w:link w:val="34"/>
    <w:qFormat/>
    <w:uiPriority w:val="99"/>
    <w:pPr>
      <w:keepNext/>
      <w:keepLines/>
      <w:spacing w:before="260" w:after="260"/>
      <w:ind w:firstLine="420"/>
      <w:outlineLvl w:val="2"/>
    </w:pPr>
    <w:rPr>
      <w:b/>
      <w:bCs/>
      <w:kern w:val="0"/>
      <w:sz w:val="32"/>
      <w:szCs w:val="32"/>
      <w:lang w:bidi="he-IL"/>
    </w:rPr>
  </w:style>
  <w:style w:type="paragraph" w:styleId="5">
    <w:name w:val="heading 4"/>
    <w:basedOn w:val="1"/>
    <w:next w:val="1"/>
    <w:link w:val="35"/>
    <w:qFormat/>
    <w:uiPriority w:val="99"/>
    <w:pPr>
      <w:keepNext/>
      <w:jc w:val="center"/>
      <w:outlineLvl w:val="3"/>
    </w:pPr>
    <w:rPr>
      <w:rFonts w:ascii="Cambria" w:hAnsi="Cambria" w:eastAsia="宋体"/>
      <w:b/>
      <w:bCs/>
      <w:kern w:val="0"/>
      <w:sz w:val="28"/>
      <w:szCs w:val="28"/>
      <w:lang w:bidi="he-IL"/>
    </w:rPr>
  </w:style>
  <w:style w:type="paragraph" w:styleId="6">
    <w:name w:val="heading 5"/>
    <w:basedOn w:val="1"/>
    <w:next w:val="1"/>
    <w:link w:val="36"/>
    <w:qFormat/>
    <w:uiPriority w:val="99"/>
    <w:pPr>
      <w:keepNext/>
      <w:ind w:left="-1" w:leftChars="-1" w:hanging="2" w:hangingChars="1"/>
      <w:jc w:val="center"/>
      <w:outlineLvl w:val="4"/>
    </w:pPr>
    <w:rPr>
      <w:b/>
      <w:bCs/>
      <w:kern w:val="0"/>
      <w:sz w:val="28"/>
      <w:szCs w:val="28"/>
      <w:lang w:bidi="he-IL"/>
    </w:rPr>
  </w:style>
  <w:style w:type="character" w:default="1" w:styleId="25">
    <w:name w:val="Default Paragraph Font"/>
    <w:unhideWhenUsed/>
    <w:qFormat/>
    <w:uiPriority w:val="1"/>
  </w:style>
  <w:style w:type="table" w:default="1" w:styleId="23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List Bullet"/>
    <w:basedOn w:val="1"/>
    <w:semiHidden/>
    <w:qFormat/>
    <w:uiPriority w:val="99"/>
    <w:pPr>
      <w:tabs>
        <w:tab w:val="left" w:pos="360"/>
      </w:tabs>
      <w:ind w:left="360" w:hanging="200" w:hangingChars="200"/>
    </w:pPr>
  </w:style>
  <w:style w:type="paragraph" w:styleId="8">
    <w:name w:val="annotation text"/>
    <w:basedOn w:val="1"/>
    <w:link w:val="43"/>
    <w:unhideWhenUsed/>
    <w:qFormat/>
    <w:locked/>
    <w:uiPriority w:val="99"/>
    <w:pPr>
      <w:jc w:val="left"/>
    </w:pPr>
  </w:style>
  <w:style w:type="paragraph" w:styleId="9">
    <w:name w:val="Body Text"/>
    <w:basedOn w:val="1"/>
    <w:link w:val="42"/>
    <w:qFormat/>
    <w:uiPriority w:val="99"/>
    <w:pPr>
      <w:spacing w:after="120"/>
    </w:pPr>
    <w:rPr>
      <w:sz w:val="24"/>
    </w:rPr>
  </w:style>
  <w:style w:type="paragraph" w:styleId="10">
    <w:name w:val="Body Text Indent"/>
    <w:basedOn w:val="1"/>
    <w:link w:val="39"/>
    <w:qFormat/>
    <w:uiPriority w:val="99"/>
    <w:pPr>
      <w:ind w:left="600" w:leftChars="400" w:hanging="200" w:hangingChars="200"/>
    </w:pPr>
    <w:rPr>
      <w:kern w:val="0"/>
      <w:szCs w:val="21"/>
      <w:lang w:bidi="he-IL"/>
    </w:rPr>
  </w:style>
  <w:style w:type="paragraph" w:styleId="11">
    <w:name w:val="toc 5"/>
    <w:basedOn w:val="1"/>
    <w:next w:val="1"/>
    <w:semiHidden/>
    <w:qFormat/>
    <w:uiPriority w:val="99"/>
    <w:pPr>
      <w:ind w:left="1680" w:leftChars="800"/>
    </w:pPr>
  </w:style>
  <w:style w:type="paragraph" w:styleId="12">
    <w:name w:val="toc 3"/>
    <w:basedOn w:val="1"/>
    <w:next w:val="1"/>
    <w:semiHidden/>
    <w:qFormat/>
    <w:uiPriority w:val="99"/>
    <w:pPr>
      <w:ind w:left="680"/>
      <w:jc w:val="left"/>
    </w:pPr>
    <w:rPr>
      <w:iCs/>
      <w:szCs w:val="20"/>
    </w:rPr>
  </w:style>
  <w:style w:type="paragraph" w:styleId="13">
    <w:name w:val="Balloon Text"/>
    <w:basedOn w:val="1"/>
    <w:link w:val="41"/>
    <w:semiHidden/>
    <w:qFormat/>
    <w:uiPriority w:val="99"/>
    <w:rPr>
      <w:kern w:val="0"/>
      <w:sz w:val="18"/>
      <w:szCs w:val="18"/>
      <w:lang w:bidi="he-IL"/>
    </w:rPr>
  </w:style>
  <w:style w:type="paragraph" w:styleId="14">
    <w:name w:val="footer"/>
    <w:basedOn w:val="1"/>
    <w:link w:val="38"/>
    <w:qFormat/>
    <w:uiPriority w:val="99"/>
    <w:pPr>
      <w:tabs>
        <w:tab w:val="center" w:pos="4153"/>
        <w:tab w:val="right" w:pos="8306"/>
      </w:tabs>
      <w:wordWrap w:val="0"/>
      <w:spacing w:line="240" w:lineRule="atLeast"/>
      <w:ind w:firstLine="320"/>
      <w:jc w:val="right"/>
    </w:pPr>
    <w:rPr>
      <w:bCs/>
      <w:kern w:val="0"/>
      <w:sz w:val="16"/>
      <w:szCs w:val="16"/>
      <w:lang w:bidi="he-IL"/>
    </w:rPr>
  </w:style>
  <w:style w:type="paragraph" w:styleId="15">
    <w:name w:val="header"/>
    <w:basedOn w:val="1"/>
    <w:link w:val="37"/>
    <w:semiHidden/>
    <w:qFormat/>
    <w:uiPriority w:val="99"/>
    <w:pPr>
      <w:pBdr>
        <w:bottom w:val="single" w:color="999999" w:sz="6" w:space="0"/>
      </w:pBdr>
      <w:tabs>
        <w:tab w:val="right" w:pos="9922"/>
      </w:tabs>
      <w:wordWrap w:val="0"/>
      <w:spacing w:line="240" w:lineRule="atLeast"/>
    </w:pPr>
    <w:rPr>
      <w:kern w:val="0"/>
      <w:sz w:val="18"/>
      <w:szCs w:val="18"/>
      <w:lang w:bidi="he-IL"/>
    </w:rPr>
  </w:style>
  <w:style w:type="paragraph" w:styleId="16">
    <w:name w:val="toc 1"/>
    <w:basedOn w:val="1"/>
    <w:next w:val="1"/>
    <w:semiHidden/>
    <w:qFormat/>
    <w:uiPriority w:val="99"/>
    <w:pPr>
      <w:spacing w:before="120" w:after="120"/>
      <w:jc w:val="left"/>
    </w:pPr>
    <w:rPr>
      <w:b/>
      <w:bCs/>
      <w:caps/>
      <w:sz w:val="28"/>
      <w:szCs w:val="28"/>
    </w:rPr>
  </w:style>
  <w:style w:type="paragraph" w:styleId="17">
    <w:name w:val="toc 4"/>
    <w:basedOn w:val="1"/>
    <w:next w:val="1"/>
    <w:semiHidden/>
    <w:qFormat/>
    <w:uiPriority w:val="99"/>
    <w:pPr>
      <w:ind w:left="1260" w:leftChars="600"/>
    </w:pPr>
  </w:style>
  <w:style w:type="paragraph" w:styleId="18">
    <w:name w:val="Subtitle"/>
    <w:basedOn w:val="1"/>
    <w:next w:val="1"/>
    <w:qFormat/>
    <w:locked/>
    <w:uiPriority w:val="0"/>
    <w:pPr>
      <w:wordWrap w:val="0"/>
      <w:spacing w:after="60"/>
      <w:jc w:val="center"/>
    </w:pPr>
    <w:rPr>
      <w:rFonts w:ascii="Calibri" w:hAnsi="Calibri" w:eastAsia="宋体" w:cs="Times New Roman"/>
      <w:sz w:val="24"/>
      <w:szCs w:val="22"/>
      <w:lang w:val="en-US" w:eastAsia="zh-CN" w:bidi="ar-SA"/>
    </w:rPr>
  </w:style>
  <w:style w:type="paragraph" w:styleId="19">
    <w:name w:val="toc 2"/>
    <w:basedOn w:val="1"/>
    <w:next w:val="1"/>
    <w:semiHidden/>
    <w:qFormat/>
    <w:uiPriority w:val="99"/>
    <w:pPr>
      <w:ind w:left="227"/>
    </w:pPr>
    <w:rPr>
      <w:b/>
      <w:smallCaps/>
      <w:sz w:val="28"/>
    </w:rPr>
  </w:style>
  <w:style w:type="paragraph" w:styleId="20">
    <w:name w:val="Normal (Web)"/>
    <w:basedOn w:val="1"/>
    <w:semiHidden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/>
      <w:sz w:val="24"/>
    </w:rPr>
  </w:style>
  <w:style w:type="paragraph" w:styleId="21">
    <w:name w:val="annotation subject"/>
    <w:basedOn w:val="8"/>
    <w:next w:val="8"/>
    <w:link w:val="44"/>
    <w:unhideWhenUsed/>
    <w:qFormat/>
    <w:locked/>
    <w:uiPriority w:val="99"/>
    <w:rPr>
      <w:b/>
      <w:bCs/>
    </w:rPr>
  </w:style>
  <w:style w:type="paragraph" w:styleId="22">
    <w:name w:val="Body Text First Indent 2"/>
    <w:basedOn w:val="10"/>
    <w:qFormat/>
    <w:locked/>
    <w:uiPriority w:val="0"/>
    <w:pPr>
      <w:spacing w:line="600" w:lineRule="exact"/>
      <w:ind w:firstLine="834" w:firstLineChars="200"/>
      <w:jc w:val="left"/>
    </w:pPr>
    <w:rPr>
      <w:rFonts w:ascii="Times New Roman" w:hAnsi="Times New Roman" w:eastAsia="仿宋_GB2312"/>
      <w:sz w:val="32"/>
    </w:rPr>
  </w:style>
  <w:style w:type="table" w:styleId="24">
    <w:name w:val="Table Grid"/>
    <w:basedOn w:val="23"/>
    <w:qFormat/>
    <w:locked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6">
    <w:name w:val="Strong"/>
    <w:qFormat/>
    <w:uiPriority w:val="99"/>
    <w:rPr>
      <w:rFonts w:cs="Times New Roman"/>
      <w:b/>
    </w:rPr>
  </w:style>
  <w:style w:type="character" w:styleId="27">
    <w:name w:val="page number"/>
    <w:semiHidden/>
    <w:qFormat/>
    <w:uiPriority w:val="99"/>
    <w:rPr>
      <w:rFonts w:cs="Times New Roman"/>
    </w:rPr>
  </w:style>
  <w:style w:type="character" w:styleId="28">
    <w:name w:val="FollowedHyperlink"/>
    <w:semiHidden/>
    <w:qFormat/>
    <w:uiPriority w:val="99"/>
    <w:rPr>
      <w:rFonts w:cs="Times New Roman"/>
      <w:color w:val="800080"/>
      <w:u w:val="single"/>
    </w:rPr>
  </w:style>
  <w:style w:type="character" w:styleId="29">
    <w:name w:val="Emphasis"/>
    <w:qFormat/>
    <w:uiPriority w:val="99"/>
    <w:rPr>
      <w:rFonts w:cs="Times New Roman"/>
      <w:i/>
    </w:rPr>
  </w:style>
  <w:style w:type="character" w:styleId="30">
    <w:name w:val="Hyperlink"/>
    <w:semiHidden/>
    <w:qFormat/>
    <w:uiPriority w:val="99"/>
    <w:rPr>
      <w:rFonts w:cs="Times New Roman"/>
      <w:color w:val="0000FF"/>
      <w:u w:val="single"/>
    </w:rPr>
  </w:style>
  <w:style w:type="character" w:styleId="31">
    <w:name w:val="annotation reference"/>
    <w:basedOn w:val="25"/>
    <w:unhideWhenUsed/>
    <w:qFormat/>
    <w:locked/>
    <w:uiPriority w:val="99"/>
    <w:rPr>
      <w:sz w:val="21"/>
      <w:szCs w:val="21"/>
    </w:rPr>
  </w:style>
  <w:style w:type="character" w:customStyle="1" w:styleId="32">
    <w:name w:val="标题 1 字符"/>
    <w:link w:val="3"/>
    <w:qFormat/>
    <w:locked/>
    <w:uiPriority w:val="99"/>
    <w:rPr>
      <w:b/>
      <w:kern w:val="44"/>
      <w:sz w:val="44"/>
    </w:rPr>
  </w:style>
  <w:style w:type="character" w:customStyle="1" w:styleId="33">
    <w:name w:val="标题 2 字符"/>
    <w:link w:val="2"/>
    <w:semiHidden/>
    <w:qFormat/>
    <w:locked/>
    <w:uiPriority w:val="99"/>
    <w:rPr>
      <w:rFonts w:ascii="Cambria" w:hAnsi="Cambria" w:eastAsia="宋体"/>
      <w:b/>
      <w:kern w:val="0"/>
      <w:sz w:val="32"/>
    </w:rPr>
  </w:style>
  <w:style w:type="character" w:customStyle="1" w:styleId="34">
    <w:name w:val="标题 3 字符"/>
    <w:link w:val="4"/>
    <w:semiHidden/>
    <w:qFormat/>
    <w:locked/>
    <w:uiPriority w:val="99"/>
    <w:rPr>
      <w:b/>
      <w:kern w:val="0"/>
      <w:sz w:val="32"/>
    </w:rPr>
  </w:style>
  <w:style w:type="character" w:customStyle="1" w:styleId="35">
    <w:name w:val="标题 4 字符"/>
    <w:link w:val="5"/>
    <w:semiHidden/>
    <w:qFormat/>
    <w:locked/>
    <w:uiPriority w:val="99"/>
    <w:rPr>
      <w:rFonts w:ascii="Cambria" w:hAnsi="Cambria" w:eastAsia="宋体"/>
      <w:b/>
      <w:kern w:val="0"/>
      <w:sz w:val="28"/>
    </w:rPr>
  </w:style>
  <w:style w:type="character" w:customStyle="1" w:styleId="36">
    <w:name w:val="标题 5 字符"/>
    <w:link w:val="6"/>
    <w:semiHidden/>
    <w:qFormat/>
    <w:locked/>
    <w:uiPriority w:val="99"/>
    <w:rPr>
      <w:b/>
      <w:kern w:val="0"/>
      <w:sz w:val="28"/>
    </w:rPr>
  </w:style>
  <w:style w:type="character" w:customStyle="1" w:styleId="37">
    <w:name w:val="页眉 字符"/>
    <w:link w:val="15"/>
    <w:semiHidden/>
    <w:qFormat/>
    <w:locked/>
    <w:uiPriority w:val="99"/>
    <w:rPr>
      <w:kern w:val="0"/>
      <w:sz w:val="18"/>
    </w:rPr>
  </w:style>
  <w:style w:type="character" w:customStyle="1" w:styleId="38">
    <w:name w:val="页脚 字符"/>
    <w:link w:val="14"/>
    <w:qFormat/>
    <w:locked/>
    <w:uiPriority w:val="99"/>
    <w:rPr>
      <w:sz w:val="16"/>
    </w:rPr>
  </w:style>
  <w:style w:type="character" w:customStyle="1" w:styleId="39">
    <w:name w:val="正文文本缩进 字符"/>
    <w:link w:val="10"/>
    <w:semiHidden/>
    <w:qFormat/>
    <w:locked/>
    <w:uiPriority w:val="99"/>
    <w:rPr>
      <w:kern w:val="0"/>
      <w:sz w:val="21"/>
    </w:rPr>
  </w:style>
  <w:style w:type="paragraph" w:customStyle="1" w:styleId="40">
    <w:name w:val="正文悬挂缩进"/>
    <w:basedOn w:val="1"/>
    <w:qFormat/>
    <w:uiPriority w:val="99"/>
    <w:pPr>
      <w:ind w:left="400" w:leftChars="200" w:hanging="200" w:hangingChars="200"/>
    </w:pPr>
  </w:style>
  <w:style w:type="character" w:customStyle="1" w:styleId="41">
    <w:name w:val="批注框文本 字符"/>
    <w:link w:val="13"/>
    <w:semiHidden/>
    <w:qFormat/>
    <w:locked/>
    <w:uiPriority w:val="99"/>
    <w:rPr>
      <w:sz w:val="18"/>
    </w:rPr>
  </w:style>
  <w:style w:type="character" w:customStyle="1" w:styleId="42">
    <w:name w:val="正文文本 字符"/>
    <w:link w:val="9"/>
    <w:qFormat/>
    <w:locked/>
    <w:uiPriority w:val="99"/>
    <w:rPr>
      <w:kern w:val="2"/>
      <w:sz w:val="24"/>
    </w:rPr>
  </w:style>
  <w:style w:type="character" w:customStyle="1" w:styleId="43">
    <w:name w:val="批注文字 字符"/>
    <w:basedOn w:val="25"/>
    <w:link w:val="8"/>
    <w:semiHidden/>
    <w:qFormat/>
    <w:uiPriority w:val="99"/>
    <w:rPr>
      <w:rFonts w:eastAsia="仿宋_GB2312"/>
      <w:kern w:val="2"/>
      <w:sz w:val="21"/>
      <w:szCs w:val="24"/>
    </w:rPr>
  </w:style>
  <w:style w:type="character" w:customStyle="1" w:styleId="44">
    <w:name w:val="批注主题 字符"/>
    <w:basedOn w:val="43"/>
    <w:link w:val="21"/>
    <w:semiHidden/>
    <w:qFormat/>
    <w:uiPriority w:val="99"/>
    <w:rPr>
      <w:rFonts w:eastAsia="仿宋_GB2312"/>
      <w:b/>
      <w:bCs/>
      <w:kern w:val="2"/>
      <w:sz w:val="21"/>
      <w:szCs w:val="24"/>
    </w:rPr>
  </w:style>
  <w:style w:type="paragraph" w:customStyle="1" w:styleId="45">
    <w:name w:val="List Paragraph"/>
    <w:basedOn w:val="1"/>
    <w:qFormat/>
    <w:uiPriority w:val="99"/>
    <w:pPr>
      <w:ind w:firstLine="420" w:firstLineChars="200"/>
    </w:pPr>
  </w:style>
  <w:style w:type="paragraph" w:customStyle="1" w:styleId="46">
    <w:name w:val="列表段落1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Version="6" StyleName="APA"/>
</file>

<file path=customXml/itemProps1.xml><?xml version="1.0" encoding="utf-8"?>
<ds:datastoreItem xmlns:ds="http://schemas.openxmlformats.org/officeDocument/2006/customXml" ds:itemID="{87B2B406-E71D-4F97-9678-1F79E72B33C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4</Pages>
  <Words>404</Words>
  <Characters>2308</Characters>
  <Lines>19</Lines>
  <Paragraphs>5</Paragraphs>
  <TotalTime>1</TotalTime>
  <ScaleCrop>false</ScaleCrop>
  <LinksUpToDate>false</LinksUpToDate>
  <CharactersWithSpaces>2707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2019-07-29T10:40:00Z</dcterms:created>
  <dc:creator>dell-</dc:creator>
  <cp:lastModifiedBy>张云甫</cp:lastModifiedBy>
  <cp:lastPrinted>2019-07-29T15:34:00Z</cp:lastPrinted>
  <dcterms:modified xsi:type="dcterms:W3CDTF">2024-02-19T07:24:08Z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74556C6FD2D048819B4019D416FE2468</vt:lpwstr>
  </property>
</Properties>
</file>